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994E" w14:textId="38B12D6B" w:rsidR="00442231" w:rsidRPr="0032510D" w:rsidRDefault="00DC40F8" w:rsidP="003B2AE9">
      <w:pPr>
        <w:spacing w:after="0" w:line="240" w:lineRule="auto"/>
        <w:jc w:val="center"/>
        <w:rPr>
          <w:rFonts w:ascii="Times New Roman" w:hAnsi="Times New Roman" w:cs="Times New Roman"/>
          <w:b/>
          <w:bCs/>
        </w:rPr>
      </w:pPr>
      <w:r w:rsidRPr="0032510D">
        <w:rPr>
          <w:rFonts w:ascii="Times New Roman" w:hAnsi="Times New Roman" w:cs="Times New Roman"/>
          <w:b/>
          <w:bCs/>
        </w:rPr>
        <w:t xml:space="preserve">DETERMINA DI </w:t>
      </w:r>
      <w:r w:rsidR="00442231" w:rsidRPr="0032510D">
        <w:rPr>
          <w:rFonts w:ascii="Times New Roman" w:hAnsi="Times New Roman" w:cs="Times New Roman"/>
          <w:b/>
          <w:bCs/>
        </w:rPr>
        <w:t>NOMINA COMMISSIONE GIUDICATRICE</w:t>
      </w:r>
    </w:p>
    <w:p w14:paraId="002826E2" w14:textId="77777777" w:rsidR="00923547" w:rsidRPr="0032510D" w:rsidRDefault="00923547" w:rsidP="00923547">
      <w:pPr>
        <w:spacing w:after="0" w:line="240" w:lineRule="auto"/>
        <w:rPr>
          <w:rFonts w:ascii="Times New Roman" w:hAnsi="Times New Roman" w:cs="Times New Roman"/>
          <w:b/>
          <w:bCs/>
        </w:rPr>
      </w:pPr>
    </w:p>
    <w:p w14:paraId="2A281D4E" w14:textId="77777777" w:rsidR="00442231" w:rsidRPr="0032510D" w:rsidRDefault="00442231" w:rsidP="003B2AE9">
      <w:pPr>
        <w:spacing w:after="0" w:line="240" w:lineRule="auto"/>
        <w:rPr>
          <w:rFonts w:ascii="Times New Roman" w:hAnsi="Times New Roman" w:cs="Times New Roman"/>
        </w:rPr>
      </w:pPr>
    </w:p>
    <w:p w14:paraId="5FF8F640" w14:textId="5A497038" w:rsidR="00442231" w:rsidRPr="0032510D" w:rsidRDefault="00442231" w:rsidP="003B2AE9">
      <w:pPr>
        <w:spacing w:after="0" w:line="240" w:lineRule="auto"/>
        <w:rPr>
          <w:rFonts w:ascii="Times New Roman" w:hAnsi="Times New Roman" w:cs="Times New Roman"/>
        </w:rPr>
      </w:pPr>
      <w:r w:rsidRPr="0032510D">
        <w:rPr>
          <w:rFonts w:ascii="Times New Roman" w:hAnsi="Times New Roman" w:cs="Times New Roman"/>
        </w:rPr>
        <w:t>DETERMINA N.</w:t>
      </w:r>
      <w:r w:rsidR="00A0788E" w:rsidRPr="0032510D">
        <w:rPr>
          <w:rFonts w:ascii="Times New Roman" w:hAnsi="Times New Roman" w:cs="Times New Roman"/>
        </w:rPr>
        <w:t xml:space="preserve"> [</w:t>
      </w:r>
      <w:r w:rsidR="001A417C" w:rsidRPr="0032510D">
        <w:rPr>
          <w:rFonts w:ascii="Times New Roman" w:hAnsi="Times New Roman" w:cs="Times New Roman"/>
        </w:rPr>
        <w:t>_____</w:t>
      </w:r>
      <w:r w:rsidR="00A0788E" w:rsidRPr="0032510D">
        <w:rPr>
          <w:rFonts w:ascii="Times New Roman" w:hAnsi="Times New Roman" w:cs="Times New Roman"/>
        </w:rPr>
        <w:t>]</w:t>
      </w:r>
    </w:p>
    <w:p w14:paraId="4E630855" w14:textId="77777777" w:rsidR="009A737A" w:rsidRPr="0032510D" w:rsidRDefault="009A737A" w:rsidP="003B2AE9">
      <w:pPr>
        <w:spacing w:after="0" w:line="240" w:lineRule="auto"/>
        <w:rPr>
          <w:rFonts w:ascii="Times New Roman" w:hAnsi="Times New Roman" w:cs="Times New Roman"/>
        </w:rPr>
      </w:pPr>
    </w:p>
    <w:p w14:paraId="1F3BDEC5" w14:textId="77777777" w:rsidR="00110BA9" w:rsidRPr="00A54454" w:rsidRDefault="009A737A" w:rsidP="00110BA9">
      <w:pPr>
        <w:spacing w:after="80" w:line="240" w:lineRule="auto"/>
        <w:jc w:val="both"/>
        <w:rPr>
          <w:rFonts w:ascii="Times New Roman" w:hAnsi="Times New Roman"/>
          <w:b/>
          <w:color w:val="2F5496" w:themeColor="accent1" w:themeShade="BF"/>
        </w:rPr>
      </w:pPr>
      <w:r w:rsidRPr="0032510D">
        <w:rPr>
          <w:rFonts w:ascii="Times New Roman" w:hAnsi="Times New Roman" w:cs="Times New Roman"/>
          <w:b/>
          <w:bCs/>
        </w:rPr>
        <w:t>OGGETTO</w:t>
      </w:r>
      <w:r w:rsidR="00442231" w:rsidRPr="0032510D">
        <w:rPr>
          <w:rFonts w:ascii="Times New Roman" w:hAnsi="Times New Roman" w:cs="Times New Roman"/>
        </w:rPr>
        <w:t xml:space="preserve">: </w:t>
      </w:r>
      <w:r w:rsidR="00A47428" w:rsidRPr="0032510D">
        <w:rPr>
          <w:rFonts w:ascii="Times New Roman" w:hAnsi="Times New Roman" w:cs="Times New Roman"/>
          <w:b/>
          <w:bCs/>
        </w:rPr>
        <w:t xml:space="preserve">Provvedimento di </w:t>
      </w:r>
      <w:r w:rsidR="003C1921" w:rsidRPr="0032510D">
        <w:rPr>
          <w:rFonts w:ascii="Times New Roman" w:hAnsi="Times New Roman" w:cs="Times New Roman"/>
          <w:b/>
          <w:bCs/>
        </w:rPr>
        <w:t>nomina della com</w:t>
      </w:r>
      <w:r w:rsidR="002C329F" w:rsidRPr="0032510D">
        <w:rPr>
          <w:rFonts w:ascii="Times New Roman" w:hAnsi="Times New Roman" w:cs="Times New Roman"/>
          <w:b/>
          <w:bCs/>
        </w:rPr>
        <w:t>missione</w:t>
      </w:r>
      <w:r w:rsidR="001E357E" w:rsidRPr="0032510D">
        <w:rPr>
          <w:rFonts w:ascii="Times New Roman" w:hAnsi="Times New Roman" w:cs="Times New Roman"/>
          <w:b/>
          <w:bCs/>
        </w:rPr>
        <w:t xml:space="preserve"> </w:t>
      </w:r>
      <w:r w:rsidR="007012B3" w:rsidRPr="0032510D">
        <w:rPr>
          <w:rFonts w:ascii="Times New Roman" w:hAnsi="Times New Roman" w:cs="Times New Roman"/>
          <w:b/>
          <w:bCs/>
        </w:rPr>
        <w:t>giudicatrice</w:t>
      </w:r>
      <w:r w:rsidR="00A47428" w:rsidRPr="0032510D">
        <w:rPr>
          <w:rFonts w:ascii="Times New Roman" w:hAnsi="Times New Roman" w:cs="Times New Roman"/>
          <w:b/>
          <w:bCs/>
        </w:rPr>
        <w:t xml:space="preserve"> relat</w:t>
      </w:r>
      <w:r w:rsidR="003C1921" w:rsidRPr="0032510D">
        <w:rPr>
          <w:rFonts w:ascii="Times New Roman" w:hAnsi="Times New Roman" w:cs="Times New Roman"/>
          <w:b/>
          <w:bCs/>
        </w:rPr>
        <w:t>i</w:t>
      </w:r>
      <w:r w:rsidR="00A47428" w:rsidRPr="0032510D">
        <w:rPr>
          <w:rFonts w:ascii="Times New Roman" w:hAnsi="Times New Roman" w:cs="Times New Roman"/>
          <w:b/>
          <w:bCs/>
        </w:rPr>
        <w:t xml:space="preserve">vo </w:t>
      </w:r>
      <w:r w:rsidR="007012B3" w:rsidRPr="0032510D">
        <w:rPr>
          <w:rFonts w:ascii="Times New Roman" w:hAnsi="Times New Roman" w:cs="Times New Roman"/>
          <w:b/>
          <w:bCs/>
        </w:rPr>
        <w:t>alla procedura di gara</w:t>
      </w:r>
      <w:r w:rsidR="00A47428" w:rsidRPr="0032510D">
        <w:rPr>
          <w:rFonts w:ascii="Times New Roman" w:hAnsi="Times New Roman" w:cs="Times New Roman"/>
          <w:b/>
          <w:bCs/>
        </w:rPr>
        <w:t xml:space="preserve"> [</w:t>
      </w:r>
      <w:r w:rsidR="00A47428" w:rsidRPr="0032510D">
        <w:rPr>
          <w:rFonts w:ascii="Times New Roman" w:hAnsi="Times New Roman" w:cs="Times New Roman"/>
          <w:b/>
          <w:bCs/>
          <w:i/>
          <w:iCs/>
        </w:rPr>
        <w:t>inserire</w:t>
      </w:r>
      <w:r w:rsidR="00A47428" w:rsidRPr="0032510D">
        <w:rPr>
          <w:rFonts w:ascii="Times New Roman" w:hAnsi="Times New Roman" w:cs="Times New Roman"/>
          <w:b/>
          <w:bCs/>
        </w:rPr>
        <w:t xml:space="preserve"> descrizione procedura] per la realizzazione dell’intervento [</w:t>
      </w:r>
      <w:r w:rsidR="00A47428" w:rsidRPr="0032510D">
        <w:rPr>
          <w:rFonts w:ascii="Times New Roman" w:hAnsi="Times New Roman" w:cs="Times New Roman"/>
          <w:b/>
          <w:bCs/>
          <w:i/>
          <w:iCs/>
        </w:rPr>
        <w:t xml:space="preserve">inserire </w:t>
      </w:r>
      <w:r w:rsidR="00A47428" w:rsidRPr="0032510D">
        <w:rPr>
          <w:rFonts w:ascii="Times New Roman" w:hAnsi="Times New Roman" w:cs="Times New Roman"/>
          <w:b/>
          <w:bCs/>
        </w:rPr>
        <w:t xml:space="preserve">denominazione] </w:t>
      </w:r>
      <w:r w:rsidR="00475E8C" w:rsidRPr="0094320E">
        <w:rPr>
          <w:rFonts w:ascii="Times New Roman" w:hAnsi="Times New Roman"/>
          <w:b/>
          <w:color w:val="2F5496" w:themeColor="accent1" w:themeShade="BF"/>
        </w:rPr>
        <w:t xml:space="preserve">nell’ambito </w:t>
      </w:r>
      <w:r w:rsidR="00110BA9" w:rsidRPr="00A54454">
        <w:rPr>
          <w:rFonts w:ascii="Times New Roman" w:hAnsi="Times New Roman"/>
          <w:b/>
          <w:color w:val="2F5496" w:themeColor="accent1" w:themeShade="BF"/>
        </w:rPr>
        <w:t xml:space="preserve">dell’Investimento </w:t>
      </w:r>
      <w:r w:rsidR="00110BA9" w:rsidRPr="00695B44">
        <w:rPr>
          <w:rFonts w:ascii="Times New Roman" w:hAnsi="Times New Roman"/>
          <w:b/>
          <w:iCs/>
          <w:color w:val="2F5496" w:themeColor="accent1" w:themeShade="BF"/>
        </w:rPr>
        <w:t>1.2</w:t>
      </w:r>
      <w:r w:rsidR="00110BA9" w:rsidRPr="00A54454">
        <w:rPr>
          <w:rFonts w:ascii="Times New Roman" w:hAnsi="Times New Roman"/>
          <w:b/>
          <w:i/>
          <w:color w:val="2F5496" w:themeColor="accent1" w:themeShade="BF"/>
        </w:rPr>
        <w:t xml:space="preserve"> “Rimozione delle barriere fisiche e cognitive in musei, biblioteche e archivi” </w:t>
      </w:r>
      <w:r w:rsidR="00110BA9" w:rsidRPr="00A54454">
        <w:rPr>
          <w:rFonts w:ascii="Times New Roman" w:hAnsi="Times New Roman"/>
          <w:b/>
          <w:color w:val="2F5496" w:themeColor="accent1" w:themeShade="BF"/>
        </w:rPr>
        <w:t>(M1C3) finanziato dall’Unione europea – NextGenerationEU</w:t>
      </w:r>
    </w:p>
    <w:p w14:paraId="1213C502" w14:textId="37B19C6E" w:rsidR="00440C0D" w:rsidRPr="0032510D" w:rsidRDefault="00440C0D" w:rsidP="00923547">
      <w:pPr>
        <w:spacing w:after="80" w:line="240" w:lineRule="auto"/>
        <w:jc w:val="both"/>
        <w:rPr>
          <w:rFonts w:ascii="Times New Roman" w:hAnsi="Times New Roman" w:cs="Times New Roman"/>
          <w:b/>
          <w:color w:val="2F5496" w:themeColor="accent1" w:themeShade="BF"/>
        </w:rPr>
      </w:pPr>
      <w:r w:rsidRPr="0032510D">
        <w:rPr>
          <w:rFonts w:ascii="Times New Roman" w:hAnsi="Times New Roman" w:cs="Times New Roman"/>
          <w:b/>
          <w:color w:val="2F5496" w:themeColor="accent1" w:themeShade="BF"/>
        </w:rPr>
        <w:t>CIG____CUP _____</w:t>
      </w:r>
    </w:p>
    <w:p w14:paraId="2122F6D6" w14:textId="77777777" w:rsidR="00440C0D" w:rsidRPr="0032510D" w:rsidRDefault="00440C0D" w:rsidP="003B2AE9">
      <w:pPr>
        <w:spacing w:after="0" w:line="240" w:lineRule="auto"/>
        <w:jc w:val="both"/>
        <w:rPr>
          <w:rFonts w:ascii="Times New Roman" w:hAnsi="Times New Roman" w:cs="Times New Roman"/>
          <w:b/>
        </w:rPr>
      </w:pPr>
    </w:p>
    <w:p w14:paraId="62AF4B00" w14:textId="4831481C" w:rsidR="00DF54D3" w:rsidRPr="0032510D" w:rsidRDefault="00DF54D3" w:rsidP="003B2AE9">
      <w:pPr>
        <w:spacing w:after="0" w:line="240" w:lineRule="auto"/>
        <w:jc w:val="both"/>
        <w:rPr>
          <w:rFonts w:ascii="Times New Roman" w:hAnsi="Times New Roman" w:cs="Times New Roman"/>
        </w:rPr>
      </w:pPr>
      <w:r w:rsidRPr="0032510D">
        <w:rPr>
          <w:rFonts w:ascii="Times New Roman" w:hAnsi="Times New Roman" w:cs="Times New Roman"/>
        </w:rPr>
        <w:t>Il/la sottoscritto/a</w:t>
      </w:r>
      <w:r w:rsidR="00A0788E" w:rsidRPr="0032510D">
        <w:rPr>
          <w:rFonts w:ascii="Times New Roman" w:hAnsi="Times New Roman" w:cs="Times New Roman"/>
        </w:rPr>
        <w:t xml:space="preserve"> </w:t>
      </w:r>
      <w:r w:rsidR="00852525" w:rsidRPr="0032510D">
        <w:rPr>
          <w:rFonts w:ascii="Times New Roman" w:hAnsi="Times New Roman" w:cs="Times New Roman"/>
          <w:b/>
        </w:rPr>
        <w:t>_____</w:t>
      </w:r>
      <w:r w:rsidRPr="0032510D">
        <w:rPr>
          <w:rFonts w:ascii="Times New Roman" w:hAnsi="Times New Roman" w:cs="Times New Roman"/>
        </w:rPr>
        <w:t xml:space="preserve">, in qualità di </w:t>
      </w:r>
      <w:r w:rsidR="000C26D5" w:rsidRPr="0032510D">
        <w:rPr>
          <w:rFonts w:ascii="Times New Roman" w:hAnsi="Times New Roman" w:cs="Times New Roman"/>
        </w:rPr>
        <w:t>Dirigente e Responsabile del Settore/Responsabile del Procedimento</w:t>
      </w:r>
      <w:r w:rsidRPr="0032510D">
        <w:rPr>
          <w:rFonts w:ascii="Times New Roman" w:hAnsi="Times New Roman" w:cs="Times New Roman"/>
        </w:rPr>
        <w:t xml:space="preserve">,  </w:t>
      </w:r>
    </w:p>
    <w:p w14:paraId="4E31D026" w14:textId="77777777" w:rsidR="00DB67FA" w:rsidRPr="0032510D" w:rsidRDefault="00DB67FA" w:rsidP="003B2AE9">
      <w:pPr>
        <w:spacing w:after="0" w:line="240" w:lineRule="auto"/>
        <w:jc w:val="center"/>
        <w:rPr>
          <w:rFonts w:ascii="Times New Roman" w:hAnsi="Times New Roman" w:cs="Times New Roman"/>
          <w:b/>
          <w:bCs/>
        </w:rPr>
      </w:pPr>
    </w:p>
    <w:p w14:paraId="2D94A798" w14:textId="5B1EF88B" w:rsidR="00A70BF4" w:rsidRPr="0032510D" w:rsidRDefault="00337BD0" w:rsidP="003B2AE9">
      <w:pPr>
        <w:spacing w:after="0" w:line="240" w:lineRule="auto"/>
        <w:jc w:val="center"/>
        <w:rPr>
          <w:rFonts w:ascii="Times New Roman" w:hAnsi="Times New Roman" w:cs="Times New Roman"/>
          <w:b/>
          <w:bCs/>
        </w:rPr>
      </w:pPr>
      <w:r w:rsidRPr="0032510D">
        <w:rPr>
          <w:rFonts w:ascii="Times New Roman" w:hAnsi="Times New Roman" w:cs="Times New Roman"/>
          <w:b/>
          <w:bCs/>
        </w:rPr>
        <w:t>PREMESSE</w:t>
      </w:r>
    </w:p>
    <w:p w14:paraId="595C7CF7" w14:textId="77777777" w:rsidR="00923547" w:rsidRPr="0032510D" w:rsidRDefault="00923547" w:rsidP="003B2AE9">
      <w:pPr>
        <w:spacing w:after="0" w:line="240" w:lineRule="auto"/>
        <w:jc w:val="center"/>
        <w:rPr>
          <w:rFonts w:ascii="Times New Roman" w:hAnsi="Times New Roman" w:cs="Times New Roman"/>
          <w:b/>
          <w:bCs/>
        </w:rPr>
      </w:pPr>
    </w:p>
    <w:p w14:paraId="6903EB39" w14:textId="77777777" w:rsidR="001E1B60" w:rsidRPr="0032510D" w:rsidRDefault="001E1B60" w:rsidP="00793C8E">
      <w:pPr>
        <w:pStyle w:val="Paragrafoelenco"/>
        <w:numPr>
          <w:ilvl w:val="0"/>
          <w:numId w:val="8"/>
        </w:numPr>
        <w:spacing w:after="80" w:line="240" w:lineRule="auto"/>
        <w:ind w:left="567" w:hanging="567"/>
        <w:contextualSpacing w:val="0"/>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VISTO il Reg. (UE) n. 2021/241 del 12/02/2021, che istituisce il dispositivo per la ripresa e la resilienza;</w:t>
      </w:r>
    </w:p>
    <w:p w14:paraId="5663C917" w14:textId="77777777" w:rsidR="001E1B60" w:rsidRPr="0032510D" w:rsidRDefault="001E1B60" w:rsidP="00793C8E">
      <w:pPr>
        <w:pStyle w:val="Paragrafoelenco"/>
        <w:numPr>
          <w:ilvl w:val="0"/>
          <w:numId w:val="8"/>
        </w:numPr>
        <w:spacing w:after="80" w:line="240" w:lineRule="auto"/>
        <w:ind w:left="567" w:hanging="567"/>
        <w:contextualSpacing w:val="0"/>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 xml:space="preserve">VISTO il Piano Nazionale di Ripresa e Resilienza (PNRR) approvato con Decisione del Consiglio ECOFIN del 13/07/2021 e notificata all’Italia dal Segretariato generale del Consiglio con nota LT161/21 del 14/07/2021; </w:t>
      </w:r>
    </w:p>
    <w:p w14:paraId="4D2659F6" w14:textId="77777777" w:rsidR="001E1B60" w:rsidRPr="0032510D" w:rsidRDefault="001E1B60" w:rsidP="00793C8E">
      <w:pPr>
        <w:pStyle w:val="Paragrafoelenco"/>
        <w:numPr>
          <w:ilvl w:val="0"/>
          <w:numId w:val="8"/>
        </w:numPr>
        <w:spacing w:after="80" w:line="240" w:lineRule="auto"/>
        <w:ind w:left="567" w:hanging="567"/>
        <w:contextualSpacing w:val="0"/>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VISTO il Reg. (UE) n. 2018/1046 del 18/07/2018, che stabilisce le regole finanziarie applicabili al bilancio generale dell’Unione, che modifica i Reg. (UE) n. 1296/2013, n. 1301/2013, n. 1303/2013, n. 1304/2013, n. 1309/2013, n. 1316/2013, n. 223/2014, n. 283/2014 e la decisione n. 541/2014/UE e abroga il reg. (UE, Euratom) n. 966/2012;</w:t>
      </w:r>
    </w:p>
    <w:p w14:paraId="53560DB4" w14:textId="7CE0C674" w:rsidR="001E1B60" w:rsidRPr="0032510D" w:rsidRDefault="001E1B60" w:rsidP="00793C8E">
      <w:pPr>
        <w:pStyle w:val="Paragrafoelenco"/>
        <w:numPr>
          <w:ilvl w:val="0"/>
          <w:numId w:val="8"/>
        </w:numPr>
        <w:spacing w:after="80" w:line="240" w:lineRule="auto"/>
        <w:ind w:left="567" w:hanging="567"/>
        <w:contextualSpacing w:val="0"/>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VISTO l’art. 1, co. 1042, della L. n. 178/2020 ai sensi del quale con uno o più decreti del Ministro dell’economia e delle finanze sono stabilite le procedure amministrativo-contabili per la gestione delle risorse di cui ai c. da 1037 a 1050, nonché le modalità di rendicontazione della gestione del Fondo di cui al c</w:t>
      </w:r>
      <w:r w:rsidR="00877195" w:rsidRPr="0032510D">
        <w:rPr>
          <w:rFonts w:ascii="Times New Roman" w:eastAsia="Calibri" w:hAnsi="Times New Roman" w:cs="Times New Roman"/>
          <w:color w:val="2F5496" w:themeColor="accent1" w:themeShade="BF"/>
        </w:rPr>
        <w:t>omma</w:t>
      </w:r>
      <w:r w:rsidRPr="0032510D">
        <w:rPr>
          <w:rFonts w:ascii="Times New Roman" w:eastAsia="Calibri" w:hAnsi="Times New Roman" w:cs="Times New Roman"/>
          <w:color w:val="2F5496" w:themeColor="accent1" w:themeShade="BF"/>
        </w:rPr>
        <w:t xml:space="preserve"> 1037;</w:t>
      </w:r>
    </w:p>
    <w:p w14:paraId="27589C57" w14:textId="39BD5F58" w:rsidR="001E1B60" w:rsidRPr="0032510D" w:rsidRDefault="001E1B60" w:rsidP="00793C8E">
      <w:pPr>
        <w:pStyle w:val="Paragrafoelenco"/>
        <w:numPr>
          <w:ilvl w:val="0"/>
          <w:numId w:val="8"/>
        </w:numPr>
        <w:spacing w:after="80" w:line="240" w:lineRule="auto"/>
        <w:ind w:left="567" w:hanging="567"/>
        <w:contextualSpacing w:val="0"/>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 xml:space="preserve">VISTO l’art. 1, co. 1043, secondo periodo, della L. n. 178/2020, ai sensi del quale al fine di supportare le attività di gestione, di monitoraggio, di rendicontazione e di controllo delle componenti del </w:t>
      </w:r>
      <w:r w:rsidRPr="0032510D">
        <w:rPr>
          <w:rFonts w:ascii="Times New Roman" w:eastAsia="Calibri" w:hAnsi="Times New Roman" w:cs="Times New Roman"/>
          <w:iCs/>
          <w:color w:val="2F5496" w:themeColor="accent1" w:themeShade="BF"/>
        </w:rPr>
        <w:t>Next Generation EU</w:t>
      </w:r>
      <w:r w:rsidRPr="0032510D">
        <w:rPr>
          <w:rFonts w:ascii="Times New Roman" w:eastAsia="Calibri" w:hAnsi="Times New Roman" w:cs="Times New Roman"/>
          <w:color w:val="2F5496" w:themeColor="accent1" w:themeShade="BF"/>
        </w:rPr>
        <w:t xml:space="preserve">, il </w:t>
      </w:r>
      <w:r w:rsidR="009B702D" w:rsidRPr="0032510D">
        <w:rPr>
          <w:rFonts w:ascii="Times New Roman" w:eastAsia="Calibri" w:hAnsi="Times New Roman" w:cs="Times New Roman"/>
          <w:color w:val="2F5496" w:themeColor="accent1" w:themeShade="BF"/>
        </w:rPr>
        <w:t>MEF</w:t>
      </w:r>
      <w:r w:rsidRPr="0032510D">
        <w:rPr>
          <w:rFonts w:ascii="Times New Roman" w:eastAsia="Calibri" w:hAnsi="Times New Roman" w:cs="Times New Roman"/>
          <w:color w:val="2F5496" w:themeColor="accent1" w:themeShade="BF"/>
        </w:rPr>
        <w:t xml:space="preserve"> – Dipartimento della Ragioneria generale dello Stato sviluppa e rende disponibile un apposito sistema informatico;</w:t>
      </w:r>
    </w:p>
    <w:p w14:paraId="0D72894E" w14:textId="77777777" w:rsidR="001E1B60" w:rsidRPr="0032510D" w:rsidRDefault="001E1B60" w:rsidP="00793C8E">
      <w:pPr>
        <w:pStyle w:val="Paragrafoelenco"/>
        <w:numPr>
          <w:ilvl w:val="0"/>
          <w:numId w:val="8"/>
        </w:numPr>
        <w:spacing w:after="80" w:line="240" w:lineRule="auto"/>
        <w:ind w:left="567" w:hanging="567"/>
        <w:contextualSpacing w:val="0"/>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VISTO il co. 1044 dello stesso art. 1 della L. n. 178/2020, ai sensi del quale con decreto del Presidente del Consiglio dei Ministri, su proposta del Ministro dell’Economia e delle Finanze, sono definite le modalità di rilevazione dei dati di attuazione finanziaria, fisica e procedurale relativi a ciascun progetto;</w:t>
      </w:r>
    </w:p>
    <w:p w14:paraId="7E0A24B0" w14:textId="7F443DC1" w:rsidR="001E1B60" w:rsidRPr="0032510D" w:rsidRDefault="001E1B60" w:rsidP="00793C8E">
      <w:pPr>
        <w:pStyle w:val="Paragrafoelenco"/>
        <w:numPr>
          <w:ilvl w:val="0"/>
          <w:numId w:val="8"/>
        </w:numPr>
        <w:spacing w:after="80" w:line="240" w:lineRule="auto"/>
        <w:ind w:left="567" w:hanging="567"/>
        <w:contextualSpacing w:val="0"/>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VISTO il D.L. n. 77/2021, conv. con mod. dalla L. n. 108/2021 (</w:t>
      </w:r>
      <w:r w:rsidRPr="0032510D">
        <w:rPr>
          <w:rFonts w:ascii="Times New Roman" w:eastAsia="Calibri" w:hAnsi="Times New Roman" w:cs="Times New Roman"/>
          <w:i/>
          <w:color w:val="2F5496" w:themeColor="accent1" w:themeShade="BF"/>
        </w:rPr>
        <w:t>Governance del Piano nazionale di ripresa e resilienza e prime misure di rafforzamento delle strutture amministrative e di accelerazione e snellimento delle procedure</w:t>
      </w:r>
      <w:r w:rsidRPr="0032510D">
        <w:rPr>
          <w:rFonts w:ascii="Times New Roman" w:eastAsia="Calibri" w:hAnsi="Times New Roman" w:cs="Times New Roman"/>
          <w:color w:val="2F5496" w:themeColor="accent1" w:themeShade="BF"/>
        </w:rPr>
        <w:t>)</w:t>
      </w:r>
      <w:r w:rsidR="00B53A1F" w:rsidRPr="0032510D">
        <w:rPr>
          <w:rFonts w:ascii="Times New Roman" w:eastAsia="Calibri" w:hAnsi="Times New Roman" w:cs="Times New Roman"/>
          <w:color w:val="2F5496" w:themeColor="accent1" w:themeShade="BF"/>
        </w:rPr>
        <w:t>;</w:t>
      </w:r>
    </w:p>
    <w:p w14:paraId="22913B1A" w14:textId="3C4EC2FC" w:rsidR="001E1B60" w:rsidRPr="0032510D" w:rsidRDefault="001E1B60" w:rsidP="00793C8E">
      <w:pPr>
        <w:pStyle w:val="Paragrafoelenco"/>
        <w:numPr>
          <w:ilvl w:val="0"/>
          <w:numId w:val="8"/>
        </w:numPr>
        <w:spacing w:after="80" w:line="240" w:lineRule="auto"/>
        <w:ind w:left="567" w:hanging="567"/>
        <w:contextualSpacing w:val="0"/>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VISTO il D.P.C.M. n. 169/2019 (</w:t>
      </w:r>
      <w:r w:rsidRPr="0032510D">
        <w:rPr>
          <w:rFonts w:ascii="Times New Roman" w:eastAsia="Calibri" w:hAnsi="Times New Roman" w:cs="Times New Roman"/>
          <w:i/>
          <w:color w:val="2F5496" w:themeColor="accent1" w:themeShade="BF"/>
        </w:rPr>
        <w:t>Regolamento di organizzazione del Ministero della cultura, degli uffici di diretta collaborazione del Ministro e dell'Organismo indipendente di valutazione della performance</w:t>
      </w:r>
      <w:r w:rsidRPr="0032510D">
        <w:rPr>
          <w:rFonts w:ascii="Times New Roman" w:eastAsia="Calibri" w:hAnsi="Times New Roman" w:cs="Times New Roman"/>
          <w:color w:val="2F5496" w:themeColor="accent1" w:themeShade="BF"/>
        </w:rPr>
        <w:t>), come modificato dal D.P.C.M. n. 123/2021, ed in particolare l’art. 26-bis del D.P.C.M. n. 169 sopra citato che ha istituito fino al 31</w:t>
      </w:r>
      <w:r w:rsidR="00B53A1F" w:rsidRPr="0032510D">
        <w:rPr>
          <w:rFonts w:ascii="Times New Roman" w:eastAsia="Calibri" w:hAnsi="Times New Roman" w:cs="Times New Roman"/>
          <w:color w:val="2F5496" w:themeColor="accent1" w:themeShade="BF"/>
        </w:rPr>
        <w:t>/12/</w:t>
      </w:r>
      <w:r w:rsidRPr="0032510D">
        <w:rPr>
          <w:rFonts w:ascii="Times New Roman" w:eastAsia="Calibri" w:hAnsi="Times New Roman" w:cs="Times New Roman"/>
          <w:color w:val="2F5496" w:themeColor="accent1" w:themeShade="BF"/>
        </w:rPr>
        <w:t>2026 presso il Segretariato generale l’Unità di missione per l’attuazione del PNRR, quale ufficio di livello dirigenziale generale straordinario che, nel rispetto degli indirizzi e delle direttive del Segretario generale, assicura il coordinamento e l'attuazione, anche in collaborazione con le altre amministrazioni competenti, degli interventi e dei progetti del PNRR attribuiti alla responsabilità del Ministero;</w:t>
      </w:r>
    </w:p>
    <w:p w14:paraId="243103FA" w14:textId="77777777" w:rsidR="00F039EB" w:rsidRPr="0094320E" w:rsidRDefault="00F039EB" w:rsidP="00F039EB">
      <w:pPr>
        <w:numPr>
          <w:ilvl w:val="0"/>
          <w:numId w:val="8"/>
        </w:numPr>
        <w:spacing w:after="80" w:line="240" w:lineRule="auto"/>
        <w:ind w:left="567" w:hanging="567"/>
        <w:jc w:val="both"/>
        <w:rPr>
          <w:rFonts w:ascii="Times New Roman" w:hAnsi="Times New Roman"/>
          <w:color w:val="2F5496" w:themeColor="accent1" w:themeShade="BF"/>
        </w:rPr>
      </w:pPr>
      <w:r w:rsidRPr="0094320E">
        <w:rPr>
          <w:rFonts w:ascii="Times New Roman" w:hAnsi="Times New Roman"/>
          <w:color w:val="2F5496" w:themeColor="accent1" w:themeShade="BF"/>
        </w:rPr>
        <w:t>VISTA, in particolare, la Missione 1 – Digitalizzazione, innovazione, competitività e cultura, Component 3 – Cultura 4.0 (M1C3), Misura 2 “</w:t>
      </w:r>
      <w:r w:rsidRPr="0094320E">
        <w:rPr>
          <w:rFonts w:ascii="Times New Roman" w:hAnsi="Times New Roman"/>
          <w:i/>
          <w:iCs/>
          <w:color w:val="2F5496" w:themeColor="accent1" w:themeShade="BF"/>
        </w:rPr>
        <w:t xml:space="preserve">Rigenerazione di piccoli siti culturali, patrimonio </w:t>
      </w:r>
      <w:r w:rsidRPr="0094320E">
        <w:rPr>
          <w:rFonts w:ascii="Times New Roman" w:hAnsi="Times New Roman"/>
          <w:i/>
          <w:iCs/>
          <w:color w:val="2F5496" w:themeColor="accent1" w:themeShade="BF"/>
        </w:rPr>
        <w:lastRenderedPageBreak/>
        <w:t>culturale, religioso e rurale</w:t>
      </w:r>
      <w:r w:rsidRPr="0094320E">
        <w:rPr>
          <w:rFonts w:ascii="Times New Roman" w:hAnsi="Times New Roman"/>
          <w:color w:val="2F5496" w:themeColor="accent1" w:themeShade="BF"/>
        </w:rPr>
        <w:t>”, Investimento 2.4: “</w:t>
      </w:r>
      <w:r w:rsidRPr="0094320E">
        <w:rPr>
          <w:rFonts w:ascii="Times New Roman" w:hAnsi="Times New Roman"/>
          <w:i/>
          <w:iCs/>
          <w:color w:val="2F5496" w:themeColor="accent1" w:themeShade="BF"/>
        </w:rPr>
        <w:t>Sicurezza sismica nei luoghi di culto, restauro del patrimonio culturale del FEC e siti di ricovero per le opere d’arte (Recovery Art)</w:t>
      </w:r>
      <w:r w:rsidRPr="0094320E">
        <w:rPr>
          <w:rFonts w:ascii="Times New Roman" w:hAnsi="Times New Roman"/>
          <w:color w:val="2F5496" w:themeColor="accent1" w:themeShade="BF"/>
        </w:rPr>
        <w:t>”;</w:t>
      </w:r>
    </w:p>
    <w:p w14:paraId="3CC429C1" w14:textId="77777777" w:rsidR="00761A43" w:rsidRPr="0032510D" w:rsidRDefault="00761A43" w:rsidP="00793C8E">
      <w:pPr>
        <w:numPr>
          <w:ilvl w:val="0"/>
          <w:numId w:val="8"/>
        </w:numPr>
        <w:tabs>
          <w:tab w:val="num" w:pos="360"/>
        </w:tabs>
        <w:spacing w:after="80" w:line="240" w:lineRule="auto"/>
        <w:ind w:left="567" w:hanging="567"/>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VISTO il D.L. n. 80/2021, conv. con mod. dalla L. n. 113/2021 (</w:t>
      </w:r>
      <w:r w:rsidRPr="0032510D">
        <w:rPr>
          <w:rFonts w:ascii="Times New Roman" w:eastAsia="Calibri" w:hAnsi="Times New Roman" w:cs="Times New Roman"/>
          <w:i/>
          <w:color w:val="2F5496" w:themeColor="accent1" w:themeShade="BF"/>
        </w:rPr>
        <w:t>Misure urgenti per il rafforzamento della capacità amministrativa delle pubbliche amministrazioni funzionale all'attuazione del Piano nazionale di ripresa e resilienza (PNRR) e per l'efficienza della giustizia</w:t>
      </w:r>
      <w:r w:rsidRPr="0032510D">
        <w:rPr>
          <w:rFonts w:ascii="Times New Roman" w:eastAsia="Calibri" w:hAnsi="Times New Roman" w:cs="Times New Roman"/>
          <w:color w:val="2F5496" w:themeColor="accent1" w:themeShade="BF"/>
        </w:rPr>
        <w:t>);</w:t>
      </w:r>
    </w:p>
    <w:p w14:paraId="451035F3" w14:textId="77777777" w:rsidR="0004628A" w:rsidRPr="0032510D" w:rsidRDefault="0004628A" w:rsidP="00793C8E">
      <w:pPr>
        <w:numPr>
          <w:ilvl w:val="0"/>
          <w:numId w:val="8"/>
        </w:numPr>
        <w:spacing w:after="80" w:line="240" w:lineRule="auto"/>
        <w:ind w:left="567" w:hanging="567"/>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VISTO il D.L. n. 36/2022 (</w:t>
      </w:r>
      <w:r w:rsidRPr="0032510D">
        <w:rPr>
          <w:rFonts w:ascii="Times New Roman" w:eastAsia="Calibri" w:hAnsi="Times New Roman" w:cs="Times New Roman"/>
          <w:i/>
          <w:color w:val="2F5496" w:themeColor="accent1" w:themeShade="BF"/>
        </w:rPr>
        <w:t>Ulteriori misure urgenti per l’attuazione del Piano nazionale di ripresa e resilienza (PNRR)</w:t>
      </w:r>
      <w:r w:rsidRPr="0032510D">
        <w:rPr>
          <w:rFonts w:ascii="Times New Roman" w:eastAsia="Calibri" w:hAnsi="Times New Roman" w:cs="Times New Roman"/>
          <w:color w:val="2F5496" w:themeColor="accent1" w:themeShade="BF"/>
        </w:rPr>
        <w:t>) pubblicato nella G.U. n. 100 del 30/04/2022, come conv. con mod. dalla L. n. 79/2022;</w:t>
      </w:r>
    </w:p>
    <w:p w14:paraId="4C196C1E" w14:textId="3EE6FAB1" w:rsidR="00F17304" w:rsidRPr="0032510D" w:rsidRDefault="00F17304" w:rsidP="00793C8E">
      <w:pPr>
        <w:numPr>
          <w:ilvl w:val="0"/>
          <w:numId w:val="8"/>
        </w:numPr>
        <w:spacing w:after="80" w:line="240" w:lineRule="auto"/>
        <w:ind w:left="567" w:hanging="567"/>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 xml:space="preserve">VISTO il decreto del MEF del 06/08/2021 relativo all’assegnazione delle risorse in favore di ciascuna Amministrazione titolare degli interventi PNRR e corrispondenti </w:t>
      </w:r>
      <w:r w:rsidRPr="0032510D">
        <w:rPr>
          <w:rFonts w:ascii="Times New Roman" w:eastAsia="Calibri" w:hAnsi="Times New Roman" w:cs="Times New Roman"/>
          <w:iCs/>
          <w:color w:val="2F5496" w:themeColor="accent1" w:themeShade="BF"/>
        </w:rPr>
        <w:t>milestone e target</w:t>
      </w:r>
      <w:r w:rsidRPr="0032510D">
        <w:rPr>
          <w:rFonts w:ascii="Times New Roman" w:eastAsia="Calibri" w:hAnsi="Times New Roman" w:cs="Times New Roman"/>
          <w:color w:val="2F5496" w:themeColor="accent1" w:themeShade="BF"/>
        </w:rPr>
        <w:t>;</w:t>
      </w:r>
    </w:p>
    <w:p w14:paraId="3E2C34FD" w14:textId="70E3B11A" w:rsidR="00395CCC" w:rsidRPr="0032510D" w:rsidRDefault="00395CCC" w:rsidP="00793C8E">
      <w:pPr>
        <w:numPr>
          <w:ilvl w:val="0"/>
          <w:numId w:val="8"/>
        </w:numPr>
        <w:spacing w:after="80" w:line="240" w:lineRule="auto"/>
        <w:ind w:left="567" w:hanging="567"/>
        <w:jc w:val="both"/>
        <w:rPr>
          <w:rFonts w:ascii="Times New Roman" w:hAnsi="Times New Roman" w:cs="Times New Roman"/>
          <w:color w:val="2F5496" w:themeColor="accent1" w:themeShade="BF"/>
        </w:rPr>
      </w:pPr>
      <w:r w:rsidRPr="0032510D">
        <w:rPr>
          <w:rFonts w:ascii="Times New Roman" w:hAnsi="Times New Roman" w:cs="Times New Roman"/>
          <w:color w:val="2F5496" w:themeColor="accent1" w:themeShade="BF"/>
        </w:rPr>
        <w:t>VISTO il D.L. n. 121/2021 (</w:t>
      </w:r>
      <w:r w:rsidRPr="0032510D">
        <w:rPr>
          <w:rFonts w:ascii="Times New Roman" w:hAnsi="Times New Roman" w:cs="Times New Roman"/>
          <w:i/>
          <w:iCs/>
          <w:color w:val="2F5496" w:themeColor="accent1" w:themeShade="BF"/>
        </w:rPr>
        <w:t>Disposizioni urgenti in materia di investimenti e sicurezza delle infrastrutture, dei trasporti e della circolazione stradale, per la funzionalità del Ministero delle infrastrutture e della mobilità sostenibili, del Consiglio superiore dei lavori pubblici e dell’Agenzia nazionale per la sicurezza delle infrastrutture stradali e autostradali</w:t>
      </w:r>
      <w:r w:rsidRPr="0032510D">
        <w:rPr>
          <w:rFonts w:ascii="Times New Roman" w:hAnsi="Times New Roman" w:cs="Times New Roman"/>
          <w:color w:val="2F5496" w:themeColor="accent1" w:themeShade="BF"/>
        </w:rPr>
        <w:t>);</w:t>
      </w:r>
    </w:p>
    <w:p w14:paraId="76417152" w14:textId="77777777" w:rsidR="00830EFF" w:rsidRPr="0032510D" w:rsidRDefault="00830EFF" w:rsidP="00793C8E">
      <w:pPr>
        <w:numPr>
          <w:ilvl w:val="0"/>
          <w:numId w:val="8"/>
        </w:numPr>
        <w:spacing w:after="80" w:line="240" w:lineRule="auto"/>
        <w:ind w:left="567" w:hanging="567"/>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VISTO il D.P.C.M. del 15/09/2021 con il quale sono stati individuati gli strumenti per il monitoraggio del PNRR;</w:t>
      </w:r>
    </w:p>
    <w:p w14:paraId="47A54B01" w14:textId="4681EBA8" w:rsidR="00830EFF" w:rsidRPr="0032510D" w:rsidRDefault="009125D9" w:rsidP="00793C8E">
      <w:pPr>
        <w:numPr>
          <w:ilvl w:val="0"/>
          <w:numId w:val="8"/>
        </w:numPr>
        <w:spacing w:after="80" w:line="240" w:lineRule="auto"/>
        <w:ind w:left="567" w:hanging="567"/>
        <w:jc w:val="both"/>
        <w:rPr>
          <w:rFonts w:ascii="Times New Roman" w:eastAsia="Calibri" w:hAnsi="Times New Roman" w:cs="Times New Roman"/>
          <w:color w:val="2F5496" w:themeColor="accent1" w:themeShade="BF"/>
        </w:rPr>
      </w:pPr>
      <w:r w:rsidRPr="0032510D">
        <w:rPr>
          <w:rFonts w:ascii="Times New Roman" w:hAnsi="Times New Roman" w:cs="Times New Roman"/>
          <w:color w:val="2F5496" w:themeColor="accent1" w:themeShade="BF"/>
        </w:rPr>
        <w:t xml:space="preserve">VISTO il decreto del MEF del 11/10/2021 </w:t>
      </w:r>
      <w:r w:rsidRPr="0032510D">
        <w:rPr>
          <w:rFonts w:ascii="Times New Roman" w:hAnsi="Times New Roman" w:cs="Times New Roman"/>
          <w:i/>
          <w:iCs/>
          <w:color w:val="2F5496" w:themeColor="accent1" w:themeShade="BF"/>
        </w:rPr>
        <w:t>(Procedure relative alla gestione finanziaria delle risorse previste nell’ambito del PNRR</w:t>
      </w:r>
      <w:r w:rsidRPr="0032510D">
        <w:rPr>
          <w:rFonts w:ascii="Times New Roman" w:hAnsi="Times New Roman" w:cs="Times New Roman"/>
          <w:color w:val="2F5496" w:themeColor="accent1" w:themeShade="BF"/>
        </w:rPr>
        <w:t>), come modificato dal decreto del MEF del 5/08/2022</w:t>
      </w:r>
      <w:r w:rsidR="00830EFF" w:rsidRPr="0032510D">
        <w:rPr>
          <w:rFonts w:ascii="Times New Roman" w:eastAsia="Calibri" w:hAnsi="Times New Roman" w:cs="Times New Roman"/>
          <w:color w:val="2F5496" w:themeColor="accent1" w:themeShade="BF"/>
        </w:rPr>
        <w:t>;</w:t>
      </w:r>
    </w:p>
    <w:p w14:paraId="35C91305" w14:textId="77777777" w:rsidR="00F104C8" w:rsidRPr="0032510D" w:rsidRDefault="00F104C8" w:rsidP="00793C8E">
      <w:pPr>
        <w:numPr>
          <w:ilvl w:val="0"/>
          <w:numId w:val="8"/>
        </w:numPr>
        <w:spacing w:after="80" w:line="240" w:lineRule="auto"/>
        <w:ind w:left="567" w:hanging="567"/>
        <w:jc w:val="both"/>
        <w:rPr>
          <w:rFonts w:ascii="Times New Roman" w:eastAsia="Calibri" w:hAnsi="Times New Roman" w:cs="Times New Roman"/>
          <w:i/>
          <w:color w:val="2F5496" w:themeColor="accent1" w:themeShade="BF"/>
        </w:rPr>
      </w:pPr>
      <w:r w:rsidRPr="0032510D">
        <w:rPr>
          <w:rFonts w:ascii="Times New Roman" w:eastAsia="Calibri" w:hAnsi="Times New Roman" w:cs="Times New Roman"/>
          <w:color w:val="2F5496" w:themeColor="accent1" w:themeShade="BF"/>
        </w:rPr>
        <w:t>VISTO l’art. 17 Regolamento (UE) 2020/852 che definisce gli obiettivi ambientali, tra cui il principio di non arrecare un danno significativo (DNSH, “</w:t>
      </w:r>
      <w:r w:rsidRPr="0032510D">
        <w:rPr>
          <w:rFonts w:ascii="Times New Roman" w:eastAsia="Calibri" w:hAnsi="Times New Roman" w:cs="Times New Roman"/>
          <w:i/>
          <w:color w:val="2F5496" w:themeColor="accent1" w:themeShade="BF"/>
        </w:rPr>
        <w:t>Do no significant harm</w:t>
      </w:r>
      <w:r w:rsidRPr="0032510D">
        <w:rPr>
          <w:rFonts w:ascii="Times New Roman" w:eastAsia="Calibri" w:hAnsi="Times New Roman" w:cs="Times New Roman"/>
          <w:color w:val="2F5496" w:themeColor="accent1" w:themeShade="BF"/>
        </w:rPr>
        <w:t>”) e la Comunicazione della Commissione UE 2021/C 58/01 (</w:t>
      </w:r>
      <w:r w:rsidRPr="0032510D">
        <w:rPr>
          <w:rFonts w:ascii="Times New Roman" w:eastAsia="Calibri" w:hAnsi="Times New Roman" w:cs="Times New Roman"/>
          <w:i/>
          <w:color w:val="2F5496" w:themeColor="accent1" w:themeShade="BF"/>
        </w:rPr>
        <w:t>Orientamenti tecnici sull’applicazione del principio «non arrecare un danno significativo» a norma del regolamento sul dispositivo per la ripresa e la resilienza);</w:t>
      </w:r>
    </w:p>
    <w:p w14:paraId="7DEB80A7" w14:textId="73DBED51" w:rsidR="00F104C8" w:rsidRPr="0032510D" w:rsidRDefault="00F104C8" w:rsidP="00793C8E">
      <w:pPr>
        <w:numPr>
          <w:ilvl w:val="0"/>
          <w:numId w:val="8"/>
        </w:numPr>
        <w:spacing w:after="80" w:line="240" w:lineRule="auto"/>
        <w:ind w:left="567" w:hanging="567"/>
        <w:jc w:val="both"/>
        <w:rPr>
          <w:rFonts w:ascii="Times New Roman" w:hAnsi="Times New Roman" w:cs="Times New Roman"/>
          <w:color w:val="2F5496" w:themeColor="accent1" w:themeShade="BF"/>
        </w:rPr>
      </w:pPr>
      <w:r w:rsidRPr="0032510D">
        <w:rPr>
          <w:rFonts w:ascii="Times New Roman" w:eastAsia="Calibri" w:hAnsi="Times New Roman" w:cs="Times New Roman"/>
          <w:color w:val="2F5496" w:themeColor="accent1" w:themeShade="BF"/>
        </w:rPr>
        <w:t xml:space="preserve">VISTA </w:t>
      </w:r>
      <w:r w:rsidR="00ED7AE9" w:rsidRPr="0032510D">
        <w:rPr>
          <w:rFonts w:ascii="Times New Roman" w:hAnsi="Times New Roman" w:cs="Times New Roman"/>
          <w:color w:val="2F5496" w:themeColor="accent1" w:themeShade="BF"/>
        </w:rPr>
        <w:t>la circolare MEF RGS n. 32/2021 (</w:t>
      </w:r>
      <w:r w:rsidR="00ED7AE9" w:rsidRPr="0032510D">
        <w:rPr>
          <w:rFonts w:ascii="Times New Roman" w:hAnsi="Times New Roman" w:cs="Times New Roman"/>
          <w:i/>
          <w:iCs/>
          <w:color w:val="2F5496" w:themeColor="accent1" w:themeShade="BF"/>
        </w:rPr>
        <w:t>Piano Nazionale di Ripresa e Resilienza (PNRR) – Guida operativa per il rispetto del principio di non arrecare danno significativo all’ambiente</w:t>
      </w:r>
      <w:r w:rsidR="00ED7AE9" w:rsidRPr="0032510D">
        <w:rPr>
          <w:rFonts w:ascii="Times New Roman" w:hAnsi="Times New Roman" w:cs="Times New Roman"/>
          <w:color w:val="2F5496" w:themeColor="accent1" w:themeShade="BF"/>
        </w:rPr>
        <w:t>), cd. DNSH, e come aggiornata dalla circolare MEF-RGS n. 33/2022;</w:t>
      </w:r>
    </w:p>
    <w:p w14:paraId="48D0F177" w14:textId="426F5E11" w:rsidR="00A70BF4" w:rsidRPr="0032510D" w:rsidRDefault="001F41BE" w:rsidP="00793C8E">
      <w:pPr>
        <w:numPr>
          <w:ilvl w:val="0"/>
          <w:numId w:val="8"/>
        </w:numPr>
        <w:spacing w:after="80" w:line="240" w:lineRule="auto"/>
        <w:ind w:left="567" w:hanging="567"/>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 xml:space="preserve">VISTI </w:t>
      </w:r>
      <w:r w:rsidR="00A70BF4" w:rsidRPr="0032510D">
        <w:rPr>
          <w:rFonts w:ascii="Times New Roman" w:eastAsia="Calibri" w:hAnsi="Times New Roman" w:cs="Times New Roman"/>
          <w:color w:val="2F5496" w:themeColor="accent1" w:themeShade="BF"/>
        </w:rPr>
        <w:t>i principi trasversali previsti dal PNRR, quali, tra l’altro, il principio del contributo all’obiettivo climatico e digitale (c.d. tagging), il principio di parità di genere e l’obbligo di protezione e valorizzazione dei giovani ed il superamento del divario territoriale, l’inclusione di donne e giovani nella progettazione e realizzazione dei progetti, il rispetto della quota SUD e le relative modalità di controllo e verifica, nonché il rispetto delle previsioni dei decreti sui Criteri Ambientali Minimi (CAM);</w:t>
      </w:r>
    </w:p>
    <w:p w14:paraId="12CC41D8" w14:textId="410BD702" w:rsidR="00A70BF4" w:rsidRPr="0032510D" w:rsidRDefault="001F41BE" w:rsidP="00793C8E">
      <w:pPr>
        <w:numPr>
          <w:ilvl w:val="0"/>
          <w:numId w:val="8"/>
        </w:numPr>
        <w:spacing w:after="80" w:line="240" w:lineRule="auto"/>
        <w:ind w:left="567" w:hanging="567"/>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 xml:space="preserve">VISTO </w:t>
      </w:r>
      <w:r w:rsidR="00A70BF4" w:rsidRPr="0032510D">
        <w:rPr>
          <w:rFonts w:ascii="Times New Roman" w:eastAsia="Calibri" w:hAnsi="Times New Roman" w:cs="Times New Roman"/>
          <w:color w:val="2F5496" w:themeColor="accent1" w:themeShade="BF"/>
        </w:rPr>
        <w:t>l’art</w:t>
      </w:r>
      <w:r w:rsidRPr="0032510D">
        <w:rPr>
          <w:rFonts w:ascii="Times New Roman" w:eastAsia="Calibri" w:hAnsi="Times New Roman" w:cs="Times New Roman"/>
          <w:color w:val="2F5496" w:themeColor="accent1" w:themeShade="BF"/>
        </w:rPr>
        <w:t>.</w:t>
      </w:r>
      <w:r w:rsidR="00A70BF4" w:rsidRPr="0032510D">
        <w:rPr>
          <w:rFonts w:ascii="Times New Roman" w:eastAsia="Calibri" w:hAnsi="Times New Roman" w:cs="Times New Roman"/>
          <w:color w:val="2F5496" w:themeColor="accent1" w:themeShade="BF"/>
        </w:rPr>
        <w:t xml:space="preserve"> 47 del D</w:t>
      </w:r>
      <w:r w:rsidRPr="0032510D">
        <w:rPr>
          <w:rFonts w:ascii="Times New Roman" w:eastAsia="Calibri" w:hAnsi="Times New Roman" w:cs="Times New Roman"/>
          <w:color w:val="2F5496" w:themeColor="accent1" w:themeShade="BF"/>
        </w:rPr>
        <w:t>.</w:t>
      </w:r>
      <w:r w:rsidR="00A70BF4" w:rsidRPr="0032510D">
        <w:rPr>
          <w:rFonts w:ascii="Times New Roman" w:eastAsia="Calibri" w:hAnsi="Times New Roman" w:cs="Times New Roman"/>
          <w:color w:val="2F5496" w:themeColor="accent1" w:themeShade="BF"/>
        </w:rPr>
        <w:t>L</w:t>
      </w:r>
      <w:r w:rsidRPr="0032510D">
        <w:rPr>
          <w:rFonts w:ascii="Times New Roman" w:eastAsia="Calibri" w:hAnsi="Times New Roman" w:cs="Times New Roman"/>
          <w:color w:val="2F5496" w:themeColor="accent1" w:themeShade="BF"/>
        </w:rPr>
        <w:t>. n.</w:t>
      </w:r>
      <w:r w:rsidR="00A70BF4" w:rsidRPr="0032510D">
        <w:rPr>
          <w:rFonts w:ascii="Times New Roman" w:eastAsia="Calibri" w:hAnsi="Times New Roman" w:cs="Times New Roman"/>
          <w:color w:val="2F5496" w:themeColor="accent1" w:themeShade="BF"/>
        </w:rPr>
        <w:t xml:space="preserve"> 77/2021 con</w:t>
      </w:r>
      <w:r w:rsidR="00406A67" w:rsidRPr="0032510D">
        <w:rPr>
          <w:rFonts w:ascii="Times New Roman" w:eastAsia="Calibri" w:hAnsi="Times New Roman" w:cs="Times New Roman"/>
          <w:color w:val="2F5496" w:themeColor="accent1" w:themeShade="BF"/>
        </w:rPr>
        <w:t>v.</w:t>
      </w:r>
      <w:r w:rsidR="00A70BF4" w:rsidRPr="0032510D">
        <w:rPr>
          <w:rFonts w:ascii="Times New Roman" w:eastAsia="Calibri" w:hAnsi="Times New Roman" w:cs="Times New Roman"/>
          <w:color w:val="2F5496" w:themeColor="accent1" w:themeShade="BF"/>
        </w:rPr>
        <w:t xml:space="preserve"> con mod</w:t>
      </w:r>
      <w:r w:rsidR="00406A67" w:rsidRPr="0032510D">
        <w:rPr>
          <w:rFonts w:ascii="Times New Roman" w:eastAsia="Calibri" w:hAnsi="Times New Roman" w:cs="Times New Roman"/>
          <w:color w:val="2F5496" w:themeColor="accent1" w:themeShade="BF"/>
        </w:rPr>
        <w:t>.</w:t>
      </w:r>
      <w:r w:rsidR="00A70BF4" w:rsidRPr="0032510D">
        <w:rPr>
          <w:rFonts w:ascii="Times New Roman" w:eastAsia="Calibri" w:hAnsi="Times New Roman" w:cs="Times New Roman"/>
          <w:color w:val="2F5496" w:themeColor="accent1" w:themeShade="BF"/>
        </w:rPr>
        <w:t xml:space="preserve"> dalla </w:t>
      </w:r>
      <w:r w:rsidRPr="0032510D">
        <w:rPr>
          <w:rFonts w:ascii="Times New Roman" w:eastAsia="Calibri" w:hAnsi="Times New Roman" w:cs="Times New Roman"/>
          <w:color w:val="2F5496" w:themeColor="accent1" w:themeShade="BF"/>
        </w:rPr>
        <w:t>L.</w:t>
      </w:r>
      <w:r w:rsidR="00A70BF4" w:rsidRPr="0032510D">
        <w:rPr>
          <w:rFonts w:ascii="Times New Roman" w:eastAsia="Calibri" w:hAnsi="Times New Roman" w:cs="Times New Roman"/>
          <w:color w:val="2F5496" w:themeColor="accent1" w:themeShade="BF"/>
        </w:rPr>
        <w:t xml:space="preserve"> </w:t>
      </w:r>
      <w:r w:rsidR="00CF6FFC" w:rsidRPr="0032510D">
        <w:rPr>
          <w:rFonts w:ascii="Times New Roman" w:eastAsia="Calibri" w:hAnsi="Times New Roman" w:cs="Times New Roman"/>
          <w:color w:val="2F5496" w:themeColor="accent1" w:themeShade="BF"/>
        </w:rPr>
        <w:t>n. 108/</w:t>
      </w:r>
      <w:r w:rsidR="00A70BF4" w:rsidRPr="0032510D">
        <w:rPr>
          <w:rFonts w:ascii="Times New Roman" w:eastAsia="Calibri" w:hAnsi="Times New Roman" w:cs="Times New Roman"/>
          <w:color w:val="2F5496" w:themeColor="accent1" w:themeShade="BF"/>
        </w:rPr>
        <w:t>2021, che dispone di “</w:t>
      </w:r>
      <w:r w:rsidR="00A70BF4" w:rsidRPr="0032510D">
        <w:rPr>
          <w:rFonts w:ascii="Times New Roman" w:eastAsia="Calibri" w:hAnsi="Times New Roman" w:cs="Times New Roman"/>
          <w:i/>
          <w:iCs/>
          <w:color w:val="2F5496" w:themeColor="accent1" w:themeShade="BF"/>
        </w:rPr>
        <w:t>perseguire le finalità relative alle pari opportunità, generazionali e di genere</w:t>
      </w:r>
      <w:r w:rsidR="00A70BF4" w:rsidRPr="0032510D">
        <w:rPr>
          <w:rFonts w:ascii="Times New Roman" w:eastAsia="Calibri" w:hAnsi="Times New Roman" w:cs="Times New Roman"/>
          <w:color w:val="2F5496" w:themeColor="accent1" w:themeShade="BF"/>
        </w:rPr>
        <w:t>” e di “</w:t>
      </w:r>
      <w:r w:rsidR="00A70BF4" w:rsidRPr="0032510D">
        <w:rPr>
          <w:rFonts w:ascii="Times New Roman" w:eastAsia="Calibri" w:hAnsi="Times New Roman" w:cs="Times New Roman"/>
          <w:i/>
          <w:iCs/>
          <w:color w:val="2F5496" w:themeColor="accent1" w:themeShade="BF"/>
        </w:rPr>
        <w:t>promuovere l’inclusione lavorativa delle persone disabili, in relazione alle procedure afferenti agli investimenti pubblici finanziati, in tutto o in parte, con le risorse previste dal Regolamento (UE) 2021/240 del Parlamento europeo e del Consiglio del 10</w:t>
      </w:r>
      <w:r w:rsidR="006B7D2D" w:rsidRPr="0032510D">
        <w:rPr>
          <w:rFonts w:ascii="Times New Roman" w:eastAsia="Calibri" w:hAnsi="Times New Roman" w:cs="Times New Roman"/>
          <w:i/>
          <w:iCs/>
          <w:color w:val="2F5496" w:themeColor="accent1" w:themeShade="BF"/>
        </w:rPr>
        <w:t>/02/</w:t>
      </w:r>
      <w:r w:rsidR="00A70BF4" w:rsidRPr="0032510D">
        <w:rPr>
          <w:rFonts w:ascii="Times New Roman" w:eastAsia="Calibri" w:hAnsi="Times New Roman" w:cs="Times New Roman"/>
          <w:i/>
          <w:iCs/>
          <w:color w:val="2F5496" w:themeColor="accent1" w:themeShade="BF"/>
        </w:rPr>
        <w:t>2021 e dal Regolamento (UE) 2021/241 del Parlamento europeo e del Consiglio del 12</w:t>
      </w:r>
      <w:r w:rsidR="006B7D2D" w:rsidRPr="0032510D">
        <w:rPr>
          <w:rFonts w:ascii="Times New Roman" w:eastAsia="Calibri" w:hAnsi="Times New Roman" w:cs="Times New Roman"/>
          <w:i/>
          <w:iCs/>
          <w:color w:val="2F5496" w:themeColor="accent1" w:themeShade="BF"/>
        </w:rPr>
        <w:t>/02/</w:t>
      </w:r>
      <w:r w:rsidR="00A70BF4" w:rsidRPr="0032510D">
        <w:rPr>
          <w:rFonts w:ascii="Times New Roman" w:eastAsia="Calibri" w:hAnsi="Times New Roman" w:cs="Times New Roman"/>
          <w:i/>
          <w:iCs/>
          <w:color w:val="2F5496" w:themeColor="accent1" w:themeShade="BF"/>
        </w:rPr>
        <w:t>2021, nonché dal PNC</w:t>
      </w:r>
      <w:r w:rsidR="00A70BF4" w:rsidRPr="0032510D">
        <w:rPr>
          <w:rFonts w:ascii="Times New Roman" w:eastAsia="Calibri" w:hAnsi="Times New Roman" w:cs="Times New Roman"/>
          <w:color w:val="2F5496" w:themeColor="accent1" w:themeShade="BF"/>
        </w:rPr>
        <w:t>”;</w:t>
      </w:r>
    </w:p>
    <w:p w14:paraId="4106A641" w14:textId="6019A7C2" w:rsidR="00A70BF4" w:rsidRPr="0032510D" w:rsidRDefault="00E41600" w:rsidP="00793C8E">
      <w:pPr>
        <w:numPr>
          <w:ilvl w:val="0"/>
          <w:numId w:val="8"/>
        </w:numPr>
        <w:spacing w:after="80" w:line="240" w:lineRule="auto"/>
        <w:ind w:left="567" w:hanging="567"/>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CONSIDERATO che</w:t>
      </w:r>
      <w:r w:rsidR="00CF6FFC" w:rsidRPr="0032510D">
        <w:rPr>
          <w:rFonts w:ascii="Times New Roman" w:eastAsia="Calibri" w:hAnsi="Times New Roman" w:cs="Times New Roman"/>
          <w:color w:val="2F5496" w:themeColor="accent1" w:themeShade="BF"/>
        </w:rPr>
        <w:t xml:space="preserve"> </w:t>
      </w:r>
      <w:r w:rsidR="00A70BF4" w:rsidRPr="0032510D">
        <w:rPr>
          <w:rFonts w:ascii="Times New Roman" w:eastAsia="Calibri" w:hAnsi="Times New Roman" w:cs="Times New Roman"/>
          <w:color w:val="2F5496" w:themeColor="accent1" w:themeShade="BF"/>
        </w:rPr>
        <w:t>il medesimo art</w:t>
      </w:r>
      <w:r w:rsidR="00CF6FFC" w:rsidRPr="0032510D">
        <w:rPr>
          <w:rFonts w:ascii="Times New Roman" w:eastAsia="Calibri" w:hAnsi="Times New Roman" w:cs="Times New Roman"/>
          <w:color w:val="2F5496" w:themeColor="accent1" w:themeShade="BF"/>
        </w:rPr>
        <w:t>.</w:t>
      </w:r>
      <w:r w:rsidR="00A70BF4" w:rsidRPr="0032510D">
        <w:rPr>
          <w:rFonts w:ascii="Times New Roman" w:eastAsia="Calibri" w:hAnsi="Times New Roman" w:cs="Times New Roman"/>
          <w:color w:val="2F5496" w:themeColor="accent1" w:themeShade="BF"/>
        </w:rPr>
        <w:t xml:space="preserve"> 47 al co</w:t>
      </w:r>
      <w:r w:rsidR="00893D92" w:rsidRPr="0032510D">
        <w:rPr>
          <w:rFonts w:ascii="Times New Roman" w:eastAsia="Calibri" w:hAnsi="Times New Roman" w:cs="Times New Roman"/>
          <w:color w:val="2F5496" w:themeColor="accent1" w:themeShade="BF"/>
        </w:rPr>
        <w:t>.</w:t>
      </w:r>
      <w:r w:rsidR="00A70BF4" w:rsidRPr="0032510D">
        <w:rPr>
          <w:rFonts w:ascii="Times New Roman" w:eastAsia="Calibri" w:hAnsi="Times New Roman" w:cs="Times New Roman"/>
          <w:color w:val="2F5496" w:themeColor="accent1" w:themeShade="BF"/>
        </w:rPr>
        <w:t xml:space="preserve"> 4 stabilisce che tutte le stazioni appaltanti devono </w:t>
      </w:r>
      <w:r w:rsidR="00A70BF4" w:rsidRPr="0032510D">
        <w:rPr>
          <w:rFonts w:ascii="Times New Roman" w:eastAsia="Calibri" w:hAnsi="Times New Roman" w:cs="Times New Roman"/>
          <w:i/>
          <w:iCs/>
          <w:color w:val="2F5496" w:themeColor="accent1" w:themeShade="BF"/>
        </w:rPr>
        <w:t>“assicurare una quota pari almeno al 30 per cento, delle assunzioni necessarie per l’esecuzione del contratto o per la realizzazione di attività ad esso connesse o strumentali, all’occupazione giovanile e femminile</w:t>
      </w:r>
      <w:r w:rsidR="00A70BF4" w:rsidRPr="0032510D">
        <w:rPr>
          <w:rFonts w:ascii="Times New Roman" w:eastAsia="Calibri" w:hAnsi="Times New Roman" w:cs="Times New Roman"/>
          <w:color w:val="2F5496" w:themeColor="accent1" w:themeShade="BF"/>
        </w:rPr>
        <w:t>”;</w:t>
      </w:r>
    </w:p>
    <w:p w14:paraId="10331056" w14:textId="77777777" w:rsidR="00A60387" w:rsidRPr="0032510D" w:rsidRDefault="00A60387" w:rsidP="00793C8E">
      <w:pPr>
        <w:numPr>
          <w:ilvl w:val="0"/>
          <w:numId w:val="8"/>
        </w:numPr>
        <w:tabs>
          <w:tab w:val="num" w:pos="360"/>
        </w:tabs>
        <w:spacing w:after="80" w:line="240" w:lineRule="auto"/>
        <w:ind w:left="567" w:hanging="567"/>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VISTO il decreto interministeriale 07/12/2021 (</w:t>
      </w:r>
      <w:r w:rsidRPr="0032510D">
        <w:rPr>
          <w:rFonts w:ascii="Times New Roman" w:eastAsia="Calibri" w:hAnsi="Times New Roman" w:cs="Times New Roman"/>
          <w:i/>
          <w:color w:val="2F5496" w:themeColor="accent1" w:themeShade="BF"/>
        </w:rPr>
        <w:t>Adozione delle linee guida volte a favorire le opportunità di genere e generazionali, nonché l’inclusione lavorativa delle persone con disabilità nei contratti pubblici finanziati con le risorse del PNRR e del Piano nazionale complementare (PNC) al PNRR</w:t>
      </w:r>
      <w:r w:rsidRPr="0032510D">
        <w:rPr>
          <w:rFonts w:ascii="Times New Roman" w:eastAsia="Calibri" w:hAnsi="Times New Roman" w:cs="Times New Roman"/>
          <w:color w:val="2F5496" w:themeColor="accent1" w:themeShade="BF"/>
        </w:rPr>
        <w:t xml:space="preserve">); </w:t>
      </w:r>
    </w:p>
    <w:p w14:paraId="4B846405" w14:textId="77777777" w:rsidR="006858CE" w:rsidRPr="0032510D" w:rsidRDefault="006858CE" w:rsidP="00793C8E">
      <w:pPr>
        <w:numPr>
          <w:ilvl w:val="0"/>
          <w:numId w:val="8"/>
        </w:numPr>
        <w:spacing w:after="80" w:line="240" w:lineRule="auto"/>
        <w:ind w:left="567" w:hanging="567"/>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VISTA la circolare MEF RGS n. 27/2022 (</w:t>
      </w:r>
      <w:r w:rsidRPr="0032510D">
        <w:rPr>
          <w:rFonts w:ascii="Times New Roman" w:eastAsia="Calibri" w:hAnsi="Times New Roman" w:cs="Times New Roman"/>
          <w:i/>
          <w:color w:val="2F5496" w:themeColor="accent1" w:themeShade="BF"/>
        </w:rPr>
        <w:t>Piano Nazionale di Ripresa e Resilienza (PNRR) – Monitoraggio delle misure PNRR</w:t>
      </w:r>
      <w:r w:rsidRPr="0032510D">
        <w:rPr>
          <w:rFonts w:ascii="Times New Roman" w:eastAsia="Calibri" w:hAnsi="Times New Roman" w:cs="Times New Roman"/>
          <w:color w:val="2F5496" w:themeColor="accent1" w:themeShade="BF"/>
        </w:rPr>
        <w:t>);</w:t>
      </w:r>
    </w:p>
    <w:p w14:paraId="30FDF813" w14:textId="77777777" w:rsidR="006858CE" w:rsidRPr="0032510D" w:rsidRDefault="006858CE" w:rsidP="00793C8E">
      <w:pPr>
        <w:numPr>
          <w:ilvl w:val="0"/>
          <w:numId w:val="8"/>
        </w:numPr>
        <w:spacing w:after="80" w:line="240" w:lineRule="auto"/>
        <w:ind w:left="567" w:hanging="567"/>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lastRenderedPageBreak/>
        <w:t>VISTA la circolare MEF-RGS n. 28/2022 (</w:t>
      </w:r>
      <w:r w:rsidRPr="0032510D">
        <w:rPr>
          <w:rFonts w:ascii="Times New Roman" w:eastAsia="Calibri" w:hAnsi="Times New Roman" w:cs="Times New Roman"/>
          <w:i/>
          <w:color w:val="2F5496" w:themeColor="accent1" w:themeShade="BF"/>
        </w:rPr>
        <w:t>Controllo di regolarità amministrativa e contabile dei rendiconti di contabilità ordinaria e di contabilità speciale. Controllo di regolarità amministrativa e contabile sugli atti di gestione delle risorse del PNRR – prime indicazioni operative</w:t>
      </w:r>
      <w:r w:rsidRPr="0032510D">
        <w:rPr>
          <w:rFonts w:ascii="Times New Roman" w:eastAsia="Calibri" w:hAnsi="Times New Roman" w:cs="Times New Roman"/>
          <w:color w:val="2F5496" w:themeColor="accent1" w:themeShade="BF"/>
        </w:rPr>
        <w:t>);</w:t>
      </w:r>
    </w:p>
    <w:p w14:paraId="7B138B60" w14:textId="766BD2E4" w:rsidR="00D302C4" w:rsidRPr="0032510D" w:rsidRDefault="00D302C4" w:rsidP="00793C8E">
      <w:pPr>
        <w:numPr>
          <w:ilvl w:val="0"/>
          <w:numId w:val="8"/>
        </w:numPr>
        <w:spacing w:after="80" w:line="240" w:lineRule="auto"/>
        <w:ind w:left="567" w:hanging="567"/>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 xml:space="preserve">VISTO il D.L. n. 152/2021, conv. con mod. dalla L. n. 233/2021 </w:t>
      </w:r>
      <w:r w:rsidR="003530AB" w:rsidRPr="0032510D">
        <w:rPr>
          <w:rFonts w:ascii="Times New Roman" w:eastAsia="Calibri" w:hAnsi="Times New Roman" w:cs="Times New Roman"/>
          <w:color w:val="2F5496" w:themeColor="accent1" w:themeShade="BF"/>
        </w:rPr>
        <w:t>(</w:t>
      </w:r>
      <w:r w:rsidRPr="0032510D">
        <w:rPr>
          <w:rFonts w:ascii="Times New Roman" w:eastAsia="Calibri" w:hAnsi="Times New Roman" w:cs="Times New Roman"/>
          <w:i/>
          <w:color w:val="2F5496" w:themeColor="accent1" w:themeShade="BF"/>
        </w:rPr>
        <w:t>Disposizioni urgenti per l’attuazione del Piano Nazionale di Ripresa e Resilienza (PNRR) e per la prevenzione delle infiltrazioni mafiose</w:t>
      </w:r>
      <w:r w:rsidRPr="0032510D">
        <w:rPr>
          <w:rFonts w:ascii="Times New Roman" w:eastAsia="Calibri" w:hAnsi="Times New Roman" w:cs="Times New Roman"/>
          <w:color w:val="2F5496" w:themeColor="accent1" w:themeShade="BF"/>
        </w:rPr>
        <w:t>), e, in particolare, l’art. 33, ai sensi del quale si prevede l’istituzione del Nucleo PNRR Stato-Regioni;</w:t>
      </w:r>
    </w:p>
    <w:p w14:paraId="37D6CE86" w14:textId="77777777" w:rsidR="00D302C4" w:rsidRPr="0032510D" w:rsidRDefault="00D302C4" w:rsidP="00793C8E">
      <w:pPr>
        <w:numPr>
          <w:ilvl w:val="0"/>
          <w:numId w:val="8"/>
        </w:numPr>
        <w:spacing w:after="80" w:line="240" w:lineRule="auto"/>
        <w:ind w:left="567" w:hanging="567"/>
        <w:jc w:val="both"/>
        <w:rPr>
          <w:rFonts w:ascii="Times New Roman" w:hAnsi="Times New Roman" w:cs="Times New Roman"/>
          <w:color w:val="2F5496" w:themeColor="accent1" w:themeShade="BF"/>
        </w:rPr>
      </w:pPr>
      <w:r w:rsidRPr="0032510D">
        <w:rPr>
          <w:rFonts w:ascii="Times New Roman" w:eastAsia="Calibri" w:hAnsi="Times New Roman" w:cs="Times New Roman"/>
          <w:color w:val="2F5496" w:themeColor="accent1" w:themeShade="BF"/>
        </w:rPr>
        <w:t>VISTI gli obblighi di assicurare il conseguimento di target e milestone e degli obiettivi finanziari stabiliti nel PNRR;</w:t>
      </w:r>
    </w:p>
    <w:p w14:paraId="46BDACD7" w14:textId="77777777" w:rsidR="00D302C4" w:rsidRPr="0032510D" w:rsidRDefault="00D302C4" w:rsidP="00793C8E">
      <w:pPr>
        <w:numPr>
          <w:ilvl w:val="0"/>
          <w:numId w:val="8"/>
        </w:numPr>
        <w:spacing w:after="80" w:line="240" w:lineRule="auto"/>
        <w:ind w:left="567" w:hanging="567"/>
        <w:jc w:val="both"/>
        <w:rPr>
          <w:rFonts w:ascii="Times New Roman" w:hAnsi="Times New Roman" w:cs="Times New Roman"/>
          <w:color w:val="2F5496" w:themeColor="accent1" w:themeShade="BF"/>
        </w:rPr>
      </w:pPr>
      <w:r w:rsidRPr="0032510D">
        <w:rPr>
          <w:rFonts w:ascii="Times New Roman" w:eastAsia="Calibri" w:hAnsi="Times New Roman" w:cs="Times New Roman"/>
          <w:color w:val="2F5496" w:themeColor="accent1" w:themeShade="BF"/>
        </w:rPr>
        <w:t xml:space="preserve">VISTA </w:t>
      </w:r>
      <w:r w:rsidRPr="0032510D">
        <w:rPr>
          <w:rFonts w:ascii="Times New Roman" w:hAnsi="Times New Roman" w:cs="Times New Roman"/>
          <w:color w:val="2F5496" w:themeColor="accent1" w:themeShade="BF"/>
        </w:rPr>
        <w:t>la nota n. 11495 del 25/03/2022 con la quale il Segretario generale ha manifestato l’interesse del Ministero ad avviare interlocuzioni con la Direzione Investigativa Antimafia al fine di stipulare un Protocollo d’intesa con la medesima per il contrasto alle infiltrazioni della criminalità organizzata nell’utilizzo dei fondi destinati agli investimenti pubblici, volto a definire modalità di collaborazione mirate al rafforzamento delle attività di prevenzione e contrasto delle organizzazioni di criminalità organizzata, anche di tipo mafioso, nell’ambito delle procedure di appalto, autorizzazione, concessione e riconoscimento di benefici economici, anche relative agli interventi connessi al PNRR, in forza del quale la Direzione Investigativa Antimafia è individuata dal Ministero della Cultura quale possibile destinataria dei dati personali acquisiti;</w:t>
      </w:r>
    </w:p>
    <w:p w14:paraId="0F9337BD" w14:textId="77777777" w:rsidR="00352FEC" w:rsidRPr="00A54454" w:rsidRDefault="00352FEC" w:rsidP="00352FEC">
      <w:pPr>
        <w:numPr>
          <w:ilvl w:val="0"/>
          <w:numId w:val="8"/>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decreto del Ministro dell’economia e delle finanze del 6 agosto 2021 relativo all’assegnazione delle risorse in favore di ciascuna Amministrazione titolare degli interventi PNRR e corrispondenti </w:t>
      </w:r>
      <w:r w:rsidRPr="00A54454">
        <w:rPr>
          <w:rFonts w:ascii="Times New Roman" w:hAnsi="Times New Roman"/>
          <w:i/>
          <w:iCs/>
          <w:color w:val="2F5496" w:themeColor="accent1" w:themeShade="BF"/>
        </w:rPr>
        <w:t>milestone</w:t>
      </w:r>
      <w:r w:rsidRPr="00A54454">
        <w:rPr>
          <w:rFonts w:ascii="Times New Roman" w:hAnsi="Times New Roman"/>
          <w:color w:val="2F5496" w:themeColor="accent1" w:themeShade="BF"/>
        </w:rPr>
        <w:t xml:space="preserve"> e </w:t>
      </w:r>
      <w:r w:rsidRPr="00A54454">
        <w:rPr>
          <w:rFonts w:ascii="Times New Roman" w:hAnsi="Times New Roman"/>
          <w:i/>
          <w:iCs/>
          <w:color w:val="2F5496" w:themeColor="accent1" w:themeShade="BF"/>
        </w:rPr>
        <w:t>target</w:t>
      </w:r>
      <w:r w:rsidRPr="00A54454">
        <w:rPr>
          <w:rFonts w:ascii="Times New Roman" w:hAnsi="Times New Roman"/>
          <w:color w:val="2F5496" w:themeColor="accent1" w:themeShade="BF"/>
        </w:rPr>
        <w:t xml:space="preserve"> e, in particolare, la Tabella A, che attribuisce al Ministero della Cultura, l’importo complessivo di euro 300.000.000,00 per l’Investimento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w:t>
      </w:r>
    </w:p>
    <w:p w14:paraId="1DCE1080" w14:textId="77777777" w:rsidR="00352FEC" w:rsidRPr="00A54454" w:rsidRDefault="00352FEC" w:rsidP="00352FEC">
      <w:pPr>
        <w:numPr>
          <w:ilvl w:val="0"/>
          <w:numId w:val="8"/>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VISTO il decreto del Direttore generale Musei n. 534 del 19 maggio 2022 di approvazione del Piano Strategico per l’Eliminazione delle Barriere Architettoniche negli istituti e luoghi della cultura, contesto metodologico di riferimento per la realizzazione degli obiettivi dell’Investimento 1.2, Rimozione delle barriere fisiche e cognitive in musei, biblioteche e archivi per consentire un più ampio accesso e partecipazione alla cultura, Missione 1, Componente 3 del Piano Nazionale di Ripresa e Resilienza (PNRR) e recante le indicazioni operative per la redazione dei P.E.B.A. (Piano di Eliminazione delle Barriere Architettoniche) a supporto degli operatori;</w:t>
      </w:r>
    </w:p>
    <w:p w14:paraId="055BB2E1" w14:textId="77777777" w:rsidR="00352FEC" w:rsidRPr="00A54454" w:rsidRDefault="00352FEC" w:rsidP="00352FEC">
      <w:pPr>
        <w:numPr>
          <w:ilvl w:val="0"/>
          <w:numId w:val="8"/>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w:t>
      </w:r>
      <w:r w:rsidRPr="00E80A86">
        <w:rPr>
          <w:rFonts w:ascii="Times New Roman" w:hAnsi="Times New Roman"/>
          <w:color w:val="2F5496" w:themeColor="accent1" w:themeShade="BF"/>
        </w:rPr>
        <w:t xml:space="preserve">decreto SG MiC </w:t>
      </w:r>
      <w:r w:rsidRPr="0094320E">
        <w:rPr>
          <w:rFonts w:ascii="Times New Roman" w:hAnsi="Times New Roman"/>
          <w:color w:val="2F5496" w:themeColor="accent1" w:themeShade="BF"/>
        </w:rPr>
        <w:t>n.</w:t>
      </w:r>
      <w:r>
        <w:rPr>
          <w:rFonts w:ascii="Times New Roman" w:hAnsi="Times New Roman"/>
          <w:color w:val="2F5496" w:themeColor="accent1" w:themeShade="BF"/>
        </w:rPr>
        <w:t xml:space="preserve"> </w:t>
      </w:r>
      <w:r w:rsidRPr="0094320E">
        <w:rPr>
          <w:rFonts w:ascii="Times New Roman" w:hAnsi="Times New Roman"/>
          <w:color w:val="2F5496" w:themeColor="accent1" w:themeShade="BF"/>
        </w:rPr>
        <w:t>10 del 20 gennaio 2022</w:t>
      </w:r>
      <w:r w:rsidRPr="00A54454">
        <w:rPr>
          <w:rFonts w:ascii="Times New Roman" w:hAnsi="Times New Roman"/>
          <w:color w:val="2F5496" w:themeColor="accent1" w:themeShade="BF"/>
        </w:rPr>
        <w:t>, recante il “</w:t>
      </w:r>
      <w:r w:rsidRPr="00A54454">
        <w:rPr>
          <w:rFonts w:ascii="Times New Roman" w:hAnsi="Times New Roman"/>
          <w:i/>
          <w:iCs/>
          <w:color w:val="2F5496" w:themeColor="accent1" w:themeShade="BF"/>
        </w:rPr>
        <w:t>Modello di Governance per l’attuazione del Piano Nazionale di Recupero e Resilienza e del Piano nazionale per gli investimenti complementari al Piano nazionale di ripresa e resilienza (PNC) a titolarità del Ministero della cultura</w:t>
      </w:r>
      <w:r w:rsidRPr="00A54454">
        <w:rPr>
          <w:rFonts w:ascii="Times New Roman" w:hAnsi="Times New Roman"/>
          <w:color w:val="2F5496" w:themeColor="accent1" w:themeShade="BF"/>
        </w:rPr>
        <w:t>” ed in particolare l'art. 2, secondo il quale alla realizzazione dell'intervento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 provvede, quale struttura attuatrice, la Direzione generale Musei del Ministero della cultura;</w:t>
      </w:r>
    </w:p>
    <w:p w14:paraId="29EA13F1" w14:textId="77777777" w:rsidR="00352FEC" w:rsidRPr="00A54454" w:rsidRDefault="00352FEC" w:rsidP="00352FEC">
      <w:pPr>
        <w:numPr>
          <w:ilvl w:val="0"/>
          <w:numId w:val="8"/>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D.M. MiC n. 331 del 6 Settembre 2022, recante </w:t>
      </w:r>
      <w:r>
        <w:rPr>
          <w:rFonts w:ascii="Times New Roman" w:hAnsi="Times New Roman"/>
          <w:color w:val="2F5496" w:themeColor="accent1" w:themeShade="BF"/>
        </w:rPr>
        <w:t>“</w:t>
      </w:r>
      <w:r w:rsidRPr="00182615">
        <w:rPr>
          <w:rFonts w:ascii="Times New Roman" w:hAnsi="Times New Roman"/>
          <w:i/>
          <w:iCs/>
          <w:color w:val="2F5496" w:themeColor="accent1" w:themeShade="BF"/>
        </w:rPr>
        <w:t>Riparto delle risorse PNRR, Missione 1 –Digitalizzazione, innovazione, competitività e cultura, Component 3 –Cultura 4.0 (M1C3), Misura 1 “Patrimonio culturale per la prossima generazione”, Investimento 1.2: “Rimozione delle barriere fisiche e cognitive in musei, biblioteche e archivi per consentire un più ampio accesso e partecipazione alla cultura” del PNRR finanziato dall’Unione europea – NextGenerationEU</w:t>
      </w:r>
      <w:r>
        <w:rPr>
          <w:rFonts w:ascii="Times New Roman" w:hAnsi="Times New Roman"/>
          <w:color w:val="2F5496" w:themeColor="accent1" w:themeShade="BF"/>
        </w:rPr>
        <w:t>”</w:t>
      </w:r>
      <w:r w:rsidRPr="00A54454">
        <w:rPr>
          <w:rFonts w:ascii="Times New Roman" w:hAnsi="Times New Roman"/>
          <w:color w:val="2F5496" w:themeColor="accent1" w:themeShade="BF"/>
        </w:rPr>
        <w:t>, con il quale le risorse assegnate al Ministero della cultura con il decreto Ministero dell’economia e delle finanze 6 agosto 2021 relative all’investimento in questione, ammesso a registrazione della Corte dei conti in data 30/09/2022 al n. 2572, per l’importo complessivo di 300 milioni di euro, sono state ripartite come da tabella seguente:</w:t>
      </w:r>
    </w:p>
    <w:tbl>
      <w:tblPr>
        <w:tblStyle w:val="Grigliatabella"/>
        <w:tblW w:w="0" w:type="auto"/>
        <w:tblInd w:w="567" w:type="dxa"/>
        <w:tblLook w:val="04A0" w:firstRow="1" w:lastRow="0" w:firstColumn="1" w:lastColumn="0" w:noHBand="0" w:noVBand="1"/>
      </w:tblPr>
      <w:tblGrid>
        <w:gridCol w:w="4217"/>
        <w:gridCol w:w="4232"/>
      </w:tblGrid>
      <w:tr w:rsidR="00352FEC" w:rsidRPr="00A54454" w14:paraId="24A4C7EB" w14:textId="77777777" w:rsidTr="00F96623">
        <w:tc>
          <w:tcPr>
            <w:tcW w:w="9062" w:type="dxa"/>
            <w:gridSpan w:val="2"/>
          </w:tcPr>
          <w:p w14:paraId="140BD2DB" w14:textId="77777777" w:rsidR="00352FEC" w:rsidRPr="00A54454" w:rsidRDefault="00352FEC" w:rsidP="00F96623">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lastRenderedPageBreak/>
              <w:t>Misura 1 “</w:t>
            </w:r>
            <w:r w:rsidRPr="00CA7170">
              <w:rPr>
                <w:rFonts w:ascii="Times New Roman" w:hAnsi="Times New Roman" w:cs="Times New Roman"/>
                <w:b/>
                <w:bCs/>
                <w:i/>
                <w:iCs/>
                <w:color w:val="2F5496" w:themeColor="accent1" w:themeShade="BF"/>
              </w:rPr>
              <w:t>Patrimonio culturale per la prossima generazione</w:t>
            </w:r>
            <w:r w:rsidRPr="00A54454">
              <w:rPr>
                <w:rFonts w:ascii="Times New Roman" w:hAnsi="Times New Roman" w:cs="Times New Roman"/>
                <w:b/>
                <w:bCs/>
                <w:color w:val="2F5496" w:themeColor="accent1" w:themeShade="BF"/>
              </w:rPr>
              <w:t>”, Investimento 1.2: “</w:t>
            </w:r>
            <w:r w:rsidRPr="00CA7170">
              <w:rPr>
                <w:rFonts w:ascii="Times New Roman" w:hAnsi="Times New Roman" w:cs="Times New Roman"/>
                <w:b/>
                <w:bCs/>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s="Times New Roman"/>
                <w:b/>
                <w:bCs/>
                <w:color w:val="2F5496" w:themeColor="accent1" w:themeShade="BF"/>
              </w:rPr>
              <w:t>”</w:t>
            </w:r>
          </w:p>
        </w:tc>
      </w:tr>
      <w:tr w:rsidR="00352FEC" w:rsidRPr="00A54454" w14:paraId="263D8B84" w14:textId="77777777" w:rsidTr="00F96623">
        <w:tc>
          <w:tcPr>
            <w:tcW w:w="4531" w:type="dxa"/>
          </w:tcPr>
          <w:p w14:paraId="60964A3A" w14:textId="77777777" w:rsidR="00352FEC" w:rsidRPr="00A54454" w:rsidRDefault="00352FEC" w:rsidP="00F96623">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Linea d’azione</w:t>
            </w:r>
          </w:p>
        </w:tc>
        <w:tc>
          <w:tcPr>
            <w:tcW w:w="4531" w:type="dxa"/>
          </w:tcPr>
          <w:p w14:paraId="00AA7455" w14:textId="77777777" w:rsidR="00352FEC" w:rsidRPr="00A54454" w:rsidRDefault="00352FEC" w:rsidP="00F96623">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Risorse</w:t>
            </w:r>
          </w:p>
        </w:tc>
      </w:tr>
      <w:tr w:rsidR="00352FEC" w:rsidRPr="00A54454" w14:paraId="38D57D9A" w14:textId="77777777" w:rsidTr="00F96623">
        <w:tc>
          <w:tcPr>
            <w:tcW w:w="4531" w:type="dxa"/>
          </w:tcPr>
          <w:p w14:paraId="221E07FF" w14:textId="77777777" w:rsidR="00352FEC" w:rsidRPr="00A54454" w:rsidRDefault="00352FEC"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pubblici afferenti al MIC</w:t>
            </w:r>
          </w:p>
        </w:tc>
        <w:tc>
          <w:tcPr>
            <w:tcW w:w="4531" w:type="dxa"/>
          </w:tcPr>
          <w:p w14:paraId="752573B9" w14:textId="77777777" w:rsidR="00352FEC" w:rsidRPr="00A54454" w:rsidRDefault="00352FEC"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€ 127.327.089,41</w:t>
            </w:r>
          </w:p>
        </w:tc>
      </w:tr>
      <w:tr w:rsidR="00352FEC" w:rsidRPr="00A54454" w14:paraId="7CAB3B24" w14:textId="77777777" w:rsidTr="00F96623">
        <w:tc>
          <w:tcPr>
            <w:tcW w:w="4531" w:type="dxa"/>
          </w:tcPr>
          <w:p w14:paraId="714042B3" w14:textId="77777777" w:rsidR="00352FEC" w:rsidRPr="00A54454" w:rsidRDefault="00352FEC"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pubblici non afferenti al MIC</w:t>
            </w:r>
          </w:p>
        </w:tc>
        <w:tc>
          <w:tcPr>
            <w:tcW w:w="4531" w:type="dxa"/>
          </w:tcPr>
          <w:p w14:paraId="494BD15A" w14:textId="77777777" w:rsidR="00352FEC" w:rsidRPr="00A54454" w:rsidRDefault="00352FEC"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€ 120.000.000,00</w:t>
            </w:r>
          </w:p>
        </w:tc>
      </w:tr>
      <w:tr w:rsidR="00352FEC" w:rsidRPr="00A54454" w14:paraId="36D63E4F" w14:textId="77777777" w:rsidTr="00F96623">
        <w:tc>
          <w:tcPr>
            <w:tcW w:w="4531" w:type="dxa"/>
          </w:tcPr>
          <w:p w14:paraId="5008BEED" w14:textId="77777777" w:rsidR="00352FEC" w:rsidRPr="00A54454" w:rsidRDefault="00352FEC"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privati</w:t>
            </w:r>
          </w:p>
        </w:tc>
        <w:tc>
          <w:tcPr>
            <w:tcW w:w="4531" w:type="dxa"/>
          </w:tcPr>
          <w:p w14:paraId="7A9164D5" w14:textId="77777777" w:rsidR="00352FEC" w:rsidRPr="00A54454" w:rsidRDefault="00352FEC"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€ 7.460.000,00</w:t>
            </w:r>
          </w:p>
        </w:tc>
      </w:tr>
      <w:tr w:rsidR="00352FEC" w:rsidRPr="00A54454" w14:paraId="525361D8" w14:textId="77777777" w:rsidTr="00F96623">
        <w:tc>
          <w:tcPr>
            <w:tcW w:w="4531" w:type="dxa"/>
          </w:tcPr>
          <w:p w14:paraId="54212B26" w14:textId="77777777" w:rsidR="00352FEC" w:rsidRPr="00A54454" w:rsidRDefault="00352FEC"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Redazione dei P.E.B.A. per i luoghi della cultura pubblici afferenti al MIC</w:t>
            </w:r>
          </w:p>
        </w:tc>
        <w:tc>
          <w:tcPr>
            <w:tcW w:w="4531" w:type="dxa"/>
          </w:tcPr>
          <w:p w14:paraId="17813177" w14:textId="77777777" w:rsidR="00352FEC" w:rsidRPr="00A54454" w:rsidRDefault="00352FEC"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€ 3.346.449,59</w:t>
            </w:r>
          </w:p>
        </w:tc>
      </w:tr>
      <w:tr w:rsidR="00352FEC" w:rsidRPr="00A54454" w14:paraId="433D10FC" w14:textId="77777777" w:rsidTr="00F96623">
        <w:tc>
          <w:tcPr>
            <w:tcW w:w="4531" w:type="dxa"/>
          </w:tcPr>
          <w:p w14:paraId="63DD7D79" w14:textId="77777777" w:rsidR="00352FEC" w:rsidRPr="00A54454" w:rsidRDefault="00352FEC"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Redazione dei P.E.B.A. per i luoghi della cultura pubblici non afferenti al MIC</w:t>
            </w:r>
          </w:p>
        </w:tc>
        <w:tc>
          <w:tcPr>
            <w:tcW w:w="4531" w:type="dxa"/>
          </w:tcPr>
          <w:p w14:paraId="43237B46" w14:textId="77777777" w:rsidR="00352FEC" w:rsidRPr="00A54454" w:rsidRDefault="00352FEC"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€ 3.214.700,00</w:t>
            </w:r>
          </w:p>
        </w:tc>
      </w:tr>
      <w:tr w:rsidR="00352FEC" w:rsidRPr="00A54454" w14:paraId="11C40FF2" w14:textId="77777777" w:rsidTr="00F96623">
        <w:tc>
          <w:tcPr>
            <w:tcW w:w="4531" w:type="dxa"/>
          </w:tcPr>
          <w:p w14:paraId="18C1643F" w14:textId="77777777" w:rsidR="00352FEC" w:rsidRPr="00A54454" w:rsidRDefault="00352FEC"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Realizzazione della piattaforma AD Arte</w:t>
            </w:r>
          </w:p>
        </w:tc>
        <w:tc>
          <w:tcPr>
            <w:tcW w:w="4531" w:type="dxa"/>
          </w:tcPr>
          <w:p w14:paraId="4E2F906A" w14:textId="77777777" w:rsidR="00352FEC" w:rsidRPr="00A54454" w:rsidRDefault="00352FEC"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€ 32.147.000,00</w:t>
            </w:r>
          </w:p>
        </w:tc>
      </w:tr>
      <w:tr w:rsidR="00352FEC" w:rsidRPr="00A54454" w14:paraId="50510B12" w14:textId="77777777" w:rsidTr="00F96623">
        <w:tc>
          <w:tcPr>
            <w:tcW w:w="4531" w:type="dxa"/>
          </w:tcPr>
          <w:p w14:paraId="29A47DCC" w14:textId="77777777" w:rsidR="00352FEC" w:rsidRPr="00A54454" w:rsidRDefault="00352FEC"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Formazione degli operatori culturali</w:t>
            </w:r>
          </w:p>
        </w:tc>
        <w:tc>
          <w:tcPr>
            <w:tcW w:w="4531" w:type="dxa"/>
          </w:tcPr>
          <w:p w14:paraId="267ACE82" w14:textId="77777777" w:rsidR="00352FEC" w:rsidRPr="00A54454" w:rsidRDefault="00352FEC"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€ 6.504.761,00</w:t>
            </w:r>
          </w:p>
        </w:tc>
      </w:tr>
      <w:tr w:rsidR="00352FEC" w:rsidRPr="00A54454" w14:paraId="1C21945A" w14:textId="77777777" w:rsidTr="00F96623">
        <w:tc>
          <w:tcPr>
            <w:tcW w:w="4531" w:type="dxa"/>
          </w:tcPr>
          <w:p w14:paraId="50229412" w14:textId="77777777" w:rsidR="00352FEC" w:rsidRPr="00A54454" w:rsidRDefault="00352FEC" w:rsidP="00F96623">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Totale</w:t>
            </w:r>
          </w:p>
        </w:tc>
        <w:tc>
          <w:tcPr>
            <w:tcW w:w="4531" w:type="dxa"/>
          </w:tcPr>
          <w:p w14:paraId="59974AE8" w14:textId="77777777" w:rsidR="00352FEC" w:rsidRPr="00A54454" w:rsidRDefault="00352FEC" w:rsidP="00F96623">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€ 300.000.000,00</w:t>
            </w:r>
          </w:p>
        </w:tc>
      </w:tr>
    </w:tbl>
    <w:p w14:paraId="4F451404" w14:textId="77777777" w:rsidR="00352FEC" w:rsidRPr="00A54454" w:rsidRDefault="00352FEC" w:rsidP="00352FEC">
      <w:pPr>
        <w:spacing w:after="80" w:line="240" w:lineRule="auto"/>
        <w:jc w:val="both"/>
        <w:rPr>
          <w:rFonts w:ascii="Times New Roman" w:hAnsi="Times New Roman"/>
          <w:b/>
          <w:bCs/>
          <w:i/>
          <w:iCs/>
          <w:color w:val="2F5496" w:themeColor="accent1" w:themeShade="BF"/>
        </w:rPr>
      </w:pPr>
    </w:p>
    <w:p w14:paraId="68D0694F" w14:textId="77777777" w:rsidR="00363F2F" w:rsidRDefault="00363F2F" w:rsidP="00363F2F">
      <w:pPr>
        <w:spacing w:after="80" w:line="240" w:lineRule="auto"/>
        <w:jc w:val="both"/>
        <w:rPr>
          <w:rFonts w:ascii="Times New Roman" w:hAnsi="Times New Roman"/>
          <w:b/>
          <w:bCs/>
          <w:i/>
          <w:iCs/>
          <w:color w:val="2F5496" w:themeColor="accent1" w:themeShade="BF"/>
        </w:rPr>
      </w:pPr>
      <w:r>
        <w:rPr>
          <w:rFonts w:ascii="Times New Roman" w:hAnsi="Times New Roman"/>
          <w:b/>
          <w:bCs/>
          <w:i/>
          <w:iCs/>
          <w:color w:val="2F5496" w:themeColor="accent1" w:themeShade="BF"/>
        </w:rPr>
        <w:t>Nel caso di musei e luoghi della cultura pubblici non afferenti al MiC</w:t>
      </w:r>
    </w:p>
    <w:p w14:paraId="1E64F6BC" w14:textId="77777777" w:rsidR="00363F2F" w:rsidRDefault="00363F2F" w:rsidP="00363F2F">
      <w:pPr>
        <w:numPr>
          <w:ilvl w:val="0"/>
          <w:numId w:val="8"/>
        </w:numPr>
        <w:spacing w:after="80" w:line="240" w:lineRule="auto"/>
        <w:ind w:left="567" w:hanging="567"/>
        <w:jc w:val="both"/>
        <w:rPr>
          <w:rFonts w:ascii="Times New Roman" w:hAnsi="Times New Roman"/>
          <w:color w:val="2F5496" w:themeColor="accent1" w:themeShade="BF"/>
        </w:rPr>
      </w:pPr>
      <w:r>
        <w:rPr>
          <w:rFonts w:ascii="Times New Roman" w:hAnsi="Times New Roman"/>
          <w:color w:val="2F5496" w:themeColor="accent1" w:themeShade="BF"/>
        </w:rPr>
        <w:t>VISTO il decreto del Direttore generale Musei n. 487 del 6 maggio 2022, recante “</w:t>
      </w:r>
      <w:r>
        <w:rPr>
          <w:rFonts w:ascii="Times New Roman" w:hAnsi="Times New Roman"/>
          <w:i/>
          <w:iCs/>
          <w:color w:val="2F5496" w:themeColor="accent1" w:themeShade="BF"/>
        </w:rPr>
        <w:t>Avviso pubblico per la presentazione di Proposte progettuali di intervento per la rimozione delle barriere fisiche, cognitive e sensoriali dei musei e luoghi della cultura pubblici non appartenenti al Ministero della Cultura, da finanziare nell’ambito del PNRR Missione 1 – Digitalizzazione, innovazione, competitività e cultura Misura 1 “Patrimonio culturale per la prossima generazione” Componente 3 – Cultura 4.0 (M1C3-3) Investimento 1.2 “Rimozione delle barriere fisiche e cognitive in musei, biblioteche e archivi per consentire un più ampio accesso e partecipazione alla cultura” finanziato dall’Unione europea – NextGenerationEU</w:t>
      </w:r>
      <w:r>
        <w:rPr>
          <w:rFonts w:ascii="Times New Roman" w:hAnsi="Times New Roman"/>
          <w:color w:val="2F5496" w:themeColor="accent1" w:themeShade="BF"/>
        </w:rPr>
        <w:t>”;</w:t>
      </w:r>
    </w:p>
    <w:p w14:paraId="225A4784" w14:textId="77777777" w:rsidR="00363F2F" w:rsidRDefault="00363F2F" w:rsidP="00363F2F">
      <w:pPr>
        <w:numPr>
          <w:ilvl w:val="0"/>
          <w:numId w:val="8"/>
        </w:numPr>
        <w:spacing w:after="80" w:line="240" w:lineRule="auto"/>
        <w:ind w:left="567" w:hanging="567"/>
        <w:jc w:val="both"/>
        <w:rPr>
          <w:rFonts w:ascii="Times New Roman" w:hAnsi="Times New Roman"/>
          <w:color w:val="2F5496" w:themeColor="accent1" w:themeShade="BF"/>
        </w:rPr>
      </w:pPr>
      <w:r>
        <w:rPr>
          <w:rFonts w:ascii="Times New Roman" w:hAnsi="Times New Roman"/>
          <w:color w:val="2F5496" w:themeColor="accent1" w:themeShade="BF"/>
        </w:rPr>
        <w:t>VISTO il decreto del Direttore generale Musei n. 1502 del 21 dicembre 2022 con il quale era stata approvata la graduatoria finale degli ammessi a finanziamento, suddivisa per regioni del centro-nord e del sud, tenuto conto delle risorse disponibili e dei criteri stabiliti nell'Avviso pubblico n. 487 del 6 maggio 2022;</w:t>
      </w:r>
    </w:p>
    <w:p w14:paraId="7C7655C9" w14:textId="2FAAC70D" w:rsidR="00363F2F" w:rsidRDefault="00363F2F" w:rsidP="00363F2F">
      <w:pPr>
        <w:numPr>
          <w:ilvl w:val="0"/>
          <w:numId w:val="8"/>
        </w:numPr>
        <w:spacing w:after="80" w:line="240" w:lineRule="auto"/>
        <w:ind w:left="567" w:hanging="567"/>
        <w:jc w:val="both"/>
        <w:rPr>
          <w:rFonts w:ascii="Times New Roman" w:hAnsi="Times New Roman"/>
          <w:color w:val="2F5496" w:themeColor="accent1" w:themeShade="BF"/>
        </w:rPr>
      </w:pPr>
      <w:r>
        <w:rPr>
          <w:rFonts w:ascii="Times New Roman" w:hAnsi="Times New Roman"/>
          <w:color w:val="2F5496" w:themeColor="accent1" w:themeShade="BF"/>
        </w:rPr>
        <w:t>VISTO il decreto del Direttore generale Musei n. 62 del 26 gennaio 2023 emanato in sostituzione del decreto dello stesso Direttore generale n. 1502 del 21 dicembre 2022, con il quale, sulla base della graduatoria di merito per le proposte progettuali di “fascia A” e di “fascia B” revisionate dalla Commissione di valutazione, sono state approvate le graduatorie finali degli ammessi a finanziamento per le proposte progettuali di “fascia A” e di “fascia B”, suddivise per regioni del centro-nord e del sud, tenuto conto delle risorse disponibili e dei criteri stabiliti nell'Avviso pubblico n. 487del 6 maggio 2022;</w:t>
      </w:r>
    </w:p>
    <w:p w14:paraId="62C6011F" w14:textId="77777777" w:rsidR="00363F2F" w:rsidRDefault="00363F2F" w:rsidP="00363F2F">
      <w:pPr>
        <w:numPr>
          <w:ilvl w:val="0"/>
          <w:numId w:val="8"/>
        </w:numPr>
        <w:spacing w:after="80" w:line="240" w:lineRule="auto"/>
        <w:ind w:left="567" w:hanging="567"/>
        <w:jc w:val="both"/>
        <w:rPr>
          <w:rFonts w:ascii="Times New Roman" w:hAnsi="Times New Roman"/>
          <w:color w:val="2F5496" w:themeColor="accent1" w:themeShade="BF"/>
        </w:rPr>
      </w:pPr>
      <w:r>
        <w:rPr>
          <w:rFonts w:ascii="Times New Roman" w:hAnsi="Times New Roman"/>
          <w:color w:val="2F5496" w:themeColor="accent1" w:themeShade="BF"/>
        </w:rPr>
        <w:t>VISTO il decreto SG MiC n. 156 del 21 febbraio 2023, recante “</w:t>
      </w:r>
      <w:r>
        <w:rPr>
          <w:rFonts w:ascii="Times New Roman" w:hAnsi="Times New Roman"/>
          <w:i/>
          <w:iCs/>
          <w:color w:val="2F5496" w:themeColor="accent1" w:themeShade="BF"/>
        </w:rPr>
        <w:t>Assegnazione delle risorse a valere sul PNRR, finanziato dall’Unione europea – NextGenerationEU Missione 1 – Digitalizzazione, innovazione, competitività e cultura, Component 3 – Cultura 4.0 (M1C3), Misura 1 “Patrimonio culturale per la prossima generazione”, Investimento 1.2: “Rimozione delle barriere fisiche e cognitive in musei, biblioteche e archivi per consentire un più ampio accesso e partecipazione alla cultura” nei musei e luoghi della cultura pubblici non appartenenti al Ministero della Cultura”</w:t>
      </w:r>
      <w:r>
        <w:rPr>
          <w:rFonts w:ascii="Times New Roman" w:hAnsi="Times New Roman"/>
          <w:color w:val="2F5496" w:themeColor="accent1" w:themeShade="BF"/>
        </w:rPr>
        <w:t>,</w:t>
      </w:r>
      <w:r>
        <w:rPr>
          <w:rFonts w:ascii="Times New Roman" w:hAnsi="Times New Roman"/>
          <w:i/>
          <w:iCs/>
          <w:color w:val="2F5496" w:themeColor="accent1" w:themeShade="BF"/>
        </w:rPr>
        <w:t xml:space="preserve"> </w:t>
      </w:r>
      <w:r>
        <w:rPr>
          <w:rFonts w:ascii="Times New Roman" w:hAnsi="Times New Roman"/>
          <w:color w:val="2F5496" w:themeColor="accent1" w:themeShade="BF"/>
        </w:rPr>
        <w:t xml:space="preserve">con il quale sono state assegnate le seguenti risorse: </w:t>
      </w:r>
    </w:p>
    <w:p w14:paraId="6125DAE6" w14:textId="77777777" w:rsidR="00363F2F" w:rsidRDefault="00363F2F" w:rsidP="00363F2F">
      <w:pPr>
        <w:spacing w:after="80" w:line="240" w:lineRule="auto"/>
        <w:ind w:left="567"/>
        <w:jc w:val="both"/>
        <w:rPr>
          <w:rFonts w:ascii="Times New Roman" w:hAnsi="Times New Roman"/>
          <w:color w:val="2F5496" w:themeColor="accent1" w:themeShade="BF"/>
        </w:rPr>
      </w:pPr>
      <w:r>
        <w:rPr>
          <w:rFonts w:ascii="Times New Roman" w:hAnsi="Times New Roman"/>
          <w:color w:val="2F5496" w:themeColor="accent1" w:themeShade="BF"/>
        </w:rPr>
        <w:t xml:space="preserve">- Euro 123.214.700,00 destinati al finanziamento di n. 262 interventi di rimozione delle barriere fisiche e cognitive presso i luoghi della cultura pubblici non afferenti al MIC, (Linea d’azione 2) </w:t>
      </w:r>
      <w:r>
        <w:rPr>
          <w:rFonts w:ascii="Times New Roman" w:hAnsi="Times New Roman"/>
          <w:color w:val="2F5496" w:themeColor="accent1" w:themeShade="BF"/>
        </w:rPr>
        <w:lastRenderedPageBreak/>
        <w:t>e Redazione dei P.E.B.A. per i luoghi della cultura pubblici non afferenti al MIC (Linea d’azione 5) individuati dal Ministero della Cultura – Direzione Generale Musei, a seguito delle procedure di Avviso pubblico, riportati nelle tabelle allegate al provvedimento (Allegato A1, A2, B1, B2);</w:t>
      </w:r>
    </w:p>
    <w:p w14:paraId="044BA531" w14:textId="77777777" w:rsidR="00363F2F" w:rsidRDefault="00363F2F" w:rsidP="00363F2F">
      <w:pPr>
        <w:numPr>
          <w:ilvl w:val="0"/>
          <w:numId w:val="8"/>
        </w:numPr>
        <w:spacing w:after="80" w:line="240" w:lineRule="auto"/>
        <w:ind w:left="567" w:hanging="567"/>
        <w:jc w:val="both"/>
        <w:rPr>
          <w:rFonts w:ascii="Times New Roman" w:hAnsi="Times New Roman"/>
          <w:color w:val="2F5496" w:themeColor="accent1" w:themeShade="BF"/>
        </w:rPr>
      </w:pPr>
      <w:r>
        <w:rPr>
          <w:rFonts w:ascii="Times New Roman" w:hAnsi="Times New Roman"/>
          <w:color w:val="2F5496" w:themeColor="accent1" w:themeShade="BF"/>
        </w:rPr>
        <w:t xml:space="preserve">CONSIDERATO che con il decreto SG MiC n. 156 del 21 febbraio 2023 è stata assegnata a ______________ </w:t>
      </w:r>
      <w:r>
        <w:rPr>
          <w:rFonts w:ascii="Times New Roman" w:hAnsi="Times New Roman"/>
        </w:rPr>
        <w:t>[</w:t>
      </w:r>
      <w:r>
        <w:rPr>
          <w:rFonts w:ascii="Times New Roman" w:hAnsi="Times New Roman"/>
          <w:b/>
          <w:bCs/>
          <w:i/>
          <w:iCs/>
        </w:rPr>
        <w:t xml:space="preserve">inserire e specificare </w:t>
      </w:r>
      <w:r>
        <w:rPr>
          <w:rFonts w:ascii="Times New Roman" w:hAnsi="Times New Roman"/>
          <w:i/>
          <w:iCs/>
        </w:rPr>
        <w:t>soggetto</w:t>
      </w:r>
      <w:r>
        <w:rPr>
          <w:rFonts w:ascii="Times New Roman" w:hAnsi="Times New Roman"/>
        </w:rPr>
        <w:t>]</w:t>
      </w:r>
      <w:r>
        <w:rPr>
          <w:rFonts w:ascii="Times New Roman" w:hAnsi="Times New Roman"/>
          <w:color w:val="2F5496" w:themeColor="accent1" w:themeShade="BF"/>
        </w:rPr>
        <w:t xml:space="preserve">, in qualità di Soggetto Attuatore la somma di _______ </w:t>
      </w:r>
      <w:r>
        <w:rPr>
          <w:rFonts w:ascii="Times New Roman" w:hAnsi="Times New Roman"/>
        </w:rPr>
        <w:t>[</w:t>
      </w:r>
      <w:r>
        <w:rPr>
          <w:rFonts w:ascii="Times New Roman" w:hAnsi="Times New Roman"/>
          <w:b/>
          <w:bCs/>
          <w:i/>
          <w:iCs/>
        </w:rPr>
        <w:t>inserire</w:t>
      </w:r>
      <w:r>
        <w:rPr>
          <w:rFonts w:ascii="Times New Roman" w:hAnsi="Times New Roman"/>
        </w:rPr>
        <w:t>]</w:t>
      </w:r>
      <w:r>
        <w:rPr>
          <w:rFonts w:ascii="Times New Roman" w:hAnsi="Times New Roman"/>
          <w:color w:val="2F5496" w:themeColor="accent1" w:themeShade="BF"/>
        </w:rPr>
        <w:t xml:space="preserve"> per il Progetto presentato titolato “__” </w:t>
      </w:r>
      <w:r>
        <w:rPr>
          <w:rFonts w:ascii="Times New Roman" w:hAnsi="Times New Roman"/>
        </w:rPr>
        <w:t>[</w:t>
      </w:r>
      <w:r>
        <w:rPr>
          <w:rFonts w:ascii="Times New Roman" w:hAnsi="Times New Roman"/>
          <w:b/>
          <w:bCs/>
          <w:i/>
          <w:iCs/>
        </w:rPr>
        <w:t>inserire</w:t>
      </w:r>
      <w:r>
        <w:rPr>
          <w:rFonts w:ascii="Times New Roman" w:hAnsi="Times New Roman"/>
        </w:rPr>
        <w:t>]</w:t>
      </w:r>
      <w:r>
        <w:rPr>
          <w:rFonts w:ascii="Times New Roman" w:hAnsi="Times New Roman"/>
          <w:color w:val="2F5496" w:themeColor="accent1" w:themeShade="BF"/>
        </w:rPr>
        <w:t xml:space="preserve"> – CUP __ </w:t>
      </w:r>
      <w:r>
        <w:rPr>
          <w:rFonts w:ascii="Times New Roman" w:hAnsi="Times New Roman"/>
        </w:rPr>
        <w:t>[</w:t>
      </w:r>
      <w:r>
        <w:rPr>
          <w:rFonts w:ascii="Times New Roman" w:hAnsi="Times New Roman"/>
          <w:b/>
          <w:bCs/>
          <w:i/>
          <w:iCs/>
        </w:rPr>
        <w:t>inserire</w:t>
      </w:r>
      <w:r>
        <w:rPr>
          <w:rFonts w:ascii="Times New Roman" w:hAnsi="Times New Roman"/>
        </w:rPr>
        <w:t>]</w:t>
      </w:r>
      <w:r>
        <w:rPr>
          <w:rFonts w:ascii="Times New Roman" w:hAnsi="Times New Roman"/>
          <w:color w:val="2F5496" w:themeColor="accent1" w:themeShade="BF"/>
        </w:rPr>
        <w:t xml:space="preserve">; </w:t>
      </w:r>
    </w:p>
    <w:p w14:paraId="650CF109" w14:textId="77777777" w:rsidR="00363F2F" w:rsidRDefault="00363F2F" w:rsidP="00363F2F">
      <w:pPr>
        <w:numPr>
          <w:ilvl w:val="0"/>
          <w:numId w:val="8"/>
        </w:numPr>
        <w:spacing w:after="80" w:line="240" w:lineRule="auto"/>
        <w:ind w:left="567" w:hanging="567"/>
        <w:jc w:val="both"/>
        <w:rPr>
          <w:rFonts w:ascii="Times New Roman" w:hAnsi="Times New Roman"/>
          <w:color w:val="2F5496" w:themeColor="accent1" w:themeShade="BF"/>
        </w:rPr>
      </w:pPr>
      <w:r>
        <w:rPr>
          <w:rFonts w:ascii="Times New Roman" w:hAnsi="Times New Roman"/>
          <w:color w:val="2F5496" w:themeColor="accent1" w:themeShade="BF"/>
        </w:rPr>
        <w:t xml:space="preserve">VISTO il disciplinare d’obblighi rep. n. __ del __ </w:t>
      </w:r>
      <w:r>
        <w:rPr>
          <w:rFonts w:ascii="Times New Roman" w:hAnsi="Times New Roman"/>
        </w:rPr>
        <w:t>[</w:t>
      </w:r>
      <w:r>
        <w:rPr>
          <w:rFonts w:ascii="Times New Roman" w:hAnsi="Times New Roman"/>
          <w:b/>
          <w:bCs/>
          <w:i/>
          <w:iCs/>
        </w:rPr>
        <w:t xml:space="preserve">inserire e specificare </w:t>
      </w:r>
      <w:r>
        <w:rPr>
          <w:rFonts w:ascii="Times New Roman" w:hAnsi="Times New Roman"/>
          <w:i/>
          <w:iCs/>
        </w:rPr>
        <w:t>atto</w:t>
      </w:r>
      <w:r>
        <w:rPr>
          <w:rFonts w:ascii="Times New Roman" w:hAnsi="Times New Roman"/>
        </w:rPr>
        <w:t xml:space="preserve">] </w:t>
      </w:r>
      <w:r>
        <w:rPr>
          <w:rFonts w:ascii="Times New Roman" w:hAnsi="Times New Roman"/>
          <w:color w:val="2F5496" w:themeColor="accent1" w:themeShade="BF"/>
        </w:rPr>
        <w:t xml:space="preserve">sottoscritto con il MiC regolante i rapporti per la realizzazione del Progetto presentato titolato “__” </w:t>
      </w:r>
      <w:r>
        <w:rPr>
          <w:rFonts w:ascii="Times New Roman" w:hAnsi="Times New Roman"/>
        </w:rPr>
        <w:t>[</w:t>
      </w:r>
      <w:r>
        <w:rPr>
          <w:rFonts w:ascii="Times New Roman" w:hAnsi="Times New Roman"/>
          <w:b/>
          <w:bCs/>
          <w:i/>
          <w:iCs/>
        </w:rPr>
        <w:t>inserire</w:t>
      </w:r>
      <w:r>
        <w:rPr>
          <w:rFonts w:ascii="Times New Roman" w:hAnsi="Times New Roman"/>
        </w:rPr>
        <w:t xml:space="preserve">] </w:t>
      </w:r>
      <w:r>
        <w:rPr>
          <w:rFonts w:ascii="Times New Roman" w:hAnsi="Times New Roman"/>
          <w:color w:val="2F5496" w:themeColor="accent1" w:themeShade="BF"/>
        </w:rPr>
        <w:t xml:space="preserve">– CUP __ </w:t>
      </w:r>
      <w:r>
        <w:rPr>
          <w:rFonts w:ascii="Times New Roman" w:hAnsi="Times New Roman"/>
        </w:rPr>
        <w:t>[</w:t>
      </w:r>
      <w:r>
        <w:rPr>
          <w:rFonts w:ascii="Times New Roman" w:hAnsi="Times New Roman"/>
          <w:b/>
          <w:bCs/>
          <w:i/>
          <w:iCs/>
        </w:rPr>
        <w:t>inserire</w:t>
      </w:r>
      <w:r>
        <w:rPr>
          <w:rFonts w:ascii="Times New Roman" w:hAnsi="Times New Roman"/>
        </w:rPr>
        <w:t>]</w:t>
      </w:r>
      <w:r>
        <w:rPr>
          <w:rFonts w:ascii="Times New Roman" w:hAnsi="Times New Roman"/>
          <w:color w:val="2F5496" w:themeColor="accent1" w:themeShade="BF"/>
        </w:rPr>
        <w:t>;</w:t>
      </w:r>
    </w:p>
    <w:p w14:paraId="18BAB9A5" w14:textId="77777777" w:rsidR="00352FEC" w:rsidRPr="00A54454" w:rsidRDefault="00352FEC" w:rsidP="00352FEC">
      <w:pPr>
        <w:numPr>
          <w:ilvl w:val="0"/>
          <w:numId w:val="8"/>
        </w:numPr>
        <w:spacing w:after="80" w:line="240" w:lineRule="auto"/>
        <w:ind w:left="567" w:hanging="567"/>
        <w:jc w:val="both"/>
        <w:rPr>
          <w:rFonts w:ascii="Times New Roman" w:hAnsi="Times New Roman"/>
        </w:rPr>
      </w:pPr>
      <w:r w:rsidRPr="00A54454">
        <w:rPr>
          <w:rFonts w:ascii="Times New Roman" w:hAnsi="Times New Roman"/>
          <w:color w:val="2F5496" w:themeColor="accent1" w:themeShade="BF"/>
        </w:rPr>
        <w:t>CONSIDERATO che all’investimento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 xml:space="preserve">” sono collegati i seguenti </w:t>
      </w:r>
      <w:r w:rsidRPr="00A54454">
        <w:rPr>
          <w:rFonts w:ascii="Times New Roman" w:hAnsi="Times New Roman"/>
          <w:i/>
          <w:iCs/>
          <w:color w:val="2F5496" w:themeColor="accent1" w:themeShade="BF"/>
        </w:rPr>
        <w:t>target /milestone</w:t>
      </w:r>
      <w:r w:rsidRPr="00A54454">
        <w:rPr>
          <w:rFonts w:ascii="Times New Roman" w:hAnsi="Times New Roman"/>
          <w:color w:val="2F5496" w:themeColor="accent1" w:themeShade="BF"/>
        </w:rPr>
        <w:t xml:space="preserve">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w:t>
      </w:r>
      <w:r w:rsidRPr="00A54454">
        <w:rPr>
          <w:rFonts w:ascii="Times New Roman" w:hAnsi="Times New Roman"/>
          <w:color w:val="2F5496" w:themeColor="accent1" w:themeShade="BF"/>
        </w:rPr>
        <w:t xml:space="preserve">; </w:t>
      </w:r>
    </w:p>
    <w:p w14:paraId="3E140E5A" w14:textId="50FF4570" w:rsidR="00442231" w:rsidRPr="00C33B05" w:rsidRDefault="002253FF" w:rsidP="00793C8E">
      <w:pPr>
        <w:numPr>
          <w:ilvl w:val="0"/>
          <w:numId w:val="8"/>
        </w:numPr>
        <w:spacing w:afterLines="80" w:after="192" w:line="240" w:lineRule="auto"/>
        <w:ind w:left="567" w:hanging="567"/>
        <w:jc w:val="both"/>
        <w:rPr>
          <w:rFonts w:ascii="Times New Roman" w:eastAsia="Calibri" w:hAnsi="Times New Roman" w:cs="Times New Roman"/>
        </w:rPr>
      </w:pPr>
      <w:r w:rsidRPr="00C33B05">
        <w:rPr>
          <w:rFonts w:ascii="Times New Roman" w:eastAsia="Calibri" w:hAnsi="Times New Roman" w:cs="Times New Roman"/>
        </w:rPr>
        <w:t>VISTO</w:t>
      </w:r>
      <w:r w:rsidR="00442231" w:rsidRPr="00C33B05">
        <w:rPr>
          <w:rFonts w:ascii="Times New Roman" w:eastAsia="Calibri" w:hAnsi="Times New Roman" w:cs="Times New Roman"/>
        </w:rPr>
        <w:t xml:space="preserve"> l’art</w:t>
      </w:r>
      <w:r w:rsidR="00337E4B" w:rsidRPr="00C33B05">
        <w:rPr>
          <w:rFonts w:ascii="Times New Roman" w:eastAsia="Calibri" w:hAnsi="Times New Roman" w:cs="Times New Roman"/>
        </w:rPr>
        <w:t xml:space="preserve">. </w:t>
      </w:r>
      <w:r w:rsidR="00442231" w:rsidRPr="00C33B05">
        <w:rPr>
          <w:rFonts w:ascii="Times New Roman" w:eastAsia="Calibri" w:hAnsi="Times New Roman" w:cs="Times New Roman"/>
        </w:rPr>
        <w:t>55-bis, co. 2-bis, del D.L. n. 1/2012, conv</w:t>
      </w:r>
      <w:r w:rsidR="004F0EC0" w:rsidRPr="00C33B05">
        <w:rPr>
          <w:rFonts w:ascii="Times New Roman" w:eastAsia="Calibri" w:hAnsi="Times New Roman" w:cs="Times New Roman"/>
        </w:rPr>
        <w:t>.</w:t>
      </w:r>
      <w:r w:rsidR="00442231" w:rsidRPr="00C33B05">
        <w:rPr>
          <w:rFonts w:ascii="Times New Roman" w:eastAsia="Calibri" w:hAnsi="Times New Roman" w:cs="Times New Roman"/>
        </w:rPr>
        <w:t xml:space="preserve"> in L. n. 27/2012; </w:t>
      </w:r>
    </w:p>
    <w:p w14:paraId="2277680A" w14:textId="6C864241" w:rsidR="00442231" w:rsidRPr="0032510D" w:rsidRDefault="002253FF" w:rsidP="00793C8E">
      <w:pPr>
        <w:pStyle w:val="Paragrafoelenco"/>
        <w:numPr>
          <w:ilvl w:val="0"/>
          <w:numId w:val="8"/>
        </w:numPr>
        <w:spacing w:afterLines="80" w:after="192" w:line="240" w:lineRule="auto"/>
        <w:ind w:left="567" w:hanging="567"/>
        <w:contextualSpacing w:val="0"/>
        <w:jc w:val="both"/>
        <w:rPr>
          <w:rFonts w:ascii="Times New Roman" w:eastAsia="Calibri" w:hAnsi="Times New Roman" w:cs="Times New Roman"/>
        </w:rPr>
      </w:pPr>
      <w:r w:rsidRPr="0032510D">
        <w:rPr>
          <w:rFonts w:ascii="Times New Roman" w:eastAsia="Calibri" w:hAnsi="Times New Roman" w:cs="Times New Roman"/>
        </w:rPr>
        <w:t xml:space="preserve">VISTO </w:t>
      </w:r>
      <w:r w:rsidR="00442231" w:rsidRPr="0032510D">
        <w:rPr>
          <w:rFonts w:ascii="Times New Roman" w:eastAsia="Calibri" w:hAnsi="Times New Roman" w:cs="Times New Roman"/>
        </w:rPr>
        <w:t>l’art</w:t>
      </w:r>
      <w:r w:rsidR="00337E4B" w:rsidRPr="0032510D">
        <w:rPr>
          <w:rFonts w:ascii="Times New Roman" w:eastAsia="Calibri" w:hAnsi="Times New Roman" w:cs="Times New Roman"/>
        </w:rPr>
        <w:t>.</w:t>
      </w:r>
      <w:r w:rsidRPr="0032510D">
        <w:rPr>
          <w:rFonts w:ascii="Times New Roman" w:eastAsia="Calibri" w:hAnsi="Times New Roman" w:cs="Times New Roman"/>
        </w:rPr>
        <w:t xml:space="preserve"> </w:t>
      </w:r>
      <w:r w:rsidR="00442231" w:rsidRPr="0032510D">
        <w:rPr>
          <w:rFonts w:ascii="Times New Roman" w:eastAsia="Calibri" w:hAnsi="Times New Roman" w:cs="Times New Roman"/>
        </w:rPr>
        <w:t>38 del D.Lgs. n. 50</w:t>
      </w:r>
      <w:r w:rsidRPr="0032510D">
        <w:rPr>
          <w:rFonts w:ascii="Times New Roman" w:eastAsia="Calibri" w:hAnsi="Times New Roman" w:cs="Times New Roman"/>
        </w:rPr>
        <w:t xml:space="preserve">/2016 </w:t>
      </w:r>
      <w:r w:rsidR="00442231" w:rsidRPr="0032510D">
        <w:rPr>
          <w:rFonts w:ascii="Times New Roman" w:eastAsia="Calibri" w:hAnsi="Times New Roman" w:cs="Times New Roman"/>
        </w:rPr>
        <w:t>(di seguito, “</w:t>
      </w:r>
      <w:r w:rsidR="00442231" w:rsidRPr="0032510D">
        <w:rPr>
          <w:rFonts w:ascii="Times New Roman" w:eastAsia="Calibri" w:hAnsi="Times New Roman" w:cs="Times New Roman"/>
          <w:i/>
          <w:iCs/>
        </w:rPr>
        <w:t>Codice dei Contratti pubblici</w:t>
      </w:r>
      <w:r w:rsidR="00442231" w:rsidRPr="0032510D">
        <w:rPr>
          <w:rFonts w:ascii="Times New Roman" w:eastAsia="Calibri" w:hAnsi="Times New Roman" w:cs="Times New Roman"/>
        </w:rPr>
        <w:t xml:space="preserve">”); </w:t>
      </w:r>
    </w:p>
    <w:p w14:paraId="59DF1D33" w14:textId="21B5797C" w:rsidR="00442231" w:rsidRPr="0032510D" w:rsidRDefault="002253FF" w:rsidP="00793C8E">
      <w:pPr>
        <w:pStyle w:val="Paragrafoelenco"/>
        <w:numPr>
          <w:ilvl w:val="0"/>
          <w:numId w:val="8"/>
        </w:numPr>
        <w:spacing w:afterLines="80" w:after="192" w:line="240" w:lineRule="auto"/>
        <w:ind w:left="567" w:hanging="567"/>
        <w:contextualSpacing w:val="0"/>
        <w:jc w:val="both"/>
        <w:rPr>
          <w:rFonts w:ascii="Times New Roman" w:eastAsia="Calibri" w:hAnsi="Times New Roman" w:cs="Times New Roman"/>
        </w:rPr>
      </w:pPr>
      <w:r w:rsidRPr="0032510D">
        <w:rPr>
          <w:rFonts w:ascii="Times New Roman" w:eastAsia="Calibri" w:hAnsi="Times New Roman" w:cs="Times New Roman"/>
        </w:rPr>
        <w:t>VISTI</w:t>
      </w:r>
      <w:r w:rsidR="00442231" w:rsidRPr="0032510D">
        <w:rPr>
          <w:rFonts w:ascii="Times New Roman" w:eastAsia="Calibri" w:hAnsi="Times New Roman" w:cs="Times New Roman"/>
        </w:rPr>
        <w:t xml:space="preserve"> gli art</w:t>
      </w:r>
      <w:r w:rsidR="002B0D83" w:rsidRPr="0032510D">
        <w:rPr>
          <w:rFonts w:ascii="Times New Roman" w:eastAsia="Calibri" w:hAnsi="Times New Roman" w:cs="Times New Roman"/>
        </w:rPr>
        <w:t>t.</w:t>
      </w:r>
      <w:r w:rsidR="00442231" w:rsidRPr="0032510D">
        <w:rPr>
          <w:rFonts w:ascii="Times New Roman" w:eastAsia="Calibri" w:hAnsi="Times New Roman" w:cs="Times New Roman"/>
        </w:rPr>
        <w:t xml:space="preserve"> 77, 78 e 216, co</w:t>
      </w:r>
      <w:r w:rsidR="00893D92" w:rsidRPr="0032510D">
        <w:rPr>
          <w:rFonts w:ascii="Times New Roman" w:eastAsia="Calibri" w:hAnsi="Times New Roman" w:cs="Times New Roman"/>
        </w:rPr>
        <w:t>.</w:t>
      </w:r>
      <w:r w:rsidR="00442231" w:rsidRPr="0032510D">
        <w:rPr>
          <w:rFonts w:ascii="Times New Roman" w:eastAsia="Calibri" w:hAnsi="Times New Roman" w:cs="Times New Roman"/>
        </w:rPr>
        <w:t xml:space="preserve"> 12, del Codice dei Contratti pubblici; </w:t>
      </w:r>
    </w:p>
    <w:p w14:paraId="706C8F67" w14:textId="7F1A72CB" w:rsidR="00442231" w:rsidRPr="0032510D" w:rsidRDefault="0038678D" w:rsidP="00793C8E">
      <w:pPr>
        <w:pStyle w:val="Paragrafoelenco"/>
        <w:numPr>
          <w:ilvl w:val="0"/>
          <w:numId w:val="8"/>
        </w:numPr>
        <w:spacing w:afterLines="80" w:after="192" w:line="240" w:lineRule="auto"/>
        <w:ind w:left="567" w:hanging="567"/>
        <w:contextualSpacing w:val="0"/>
        <w:jc w:val="both"/>
        <w:rPr>
          <w:rFonts w:ascii="Times New Roman" w:eastAsia="Calibri" w:hAnsi="Times New Roman" w:cs="Times New Roman"/>
        </w:rPr>
      </w:pPr>
      <w:r w:rsidRPr="0032510D">
        <w:rPr>
          <w:rFonts w:ascii="Times New Roman" w:eastAsia="Calibri" w:hAnsi="Times New Roman" w:cs="Times New Roman"/>
        </w:rPr>
        <w:t xml:space="preserve">CONSIDERATA </w:t>
      </w:r>
      <w:r w:rsidR="00442231" w:rsidRPr="0032510D">
        <w:rPr>
          <w:rFonts w:ascii="Times New Roman" w:eastAsia="Calibri" w:hAnsi="Times New Roman" w:cs="Times New Roman"/>
        </w:rPr>
        <w:t xml:space="preserve">la nomina, con determina </w:t>
      </w:r>
      <w:r w:rsidR="00A321AA" w:rsidRPr="0032510D">
        <w:rPr>
          <w:rFonts w:ascii="Times New Roman" w:eastAsia="Calibri" w:hAnsi="Times New Roman" w:cs="Times New Roman"/>
        </w:rPr>
        <w:t xml:space="preserve">del </w:t>
      </w:r>
      <w:r w:rsidR="00A321AA" w:rsidRPr="0032510D">
        <w:rPr>
          <w:rFonts w:ascii="Times New Roman" w:hAnsi="Times New Roman"/>
        </w:rPr>
        <w:t>__</w:t>
      </w:r>
      <w:r w:rsidR="00442231" w:rsidRPr="0032510D">
        <w:rPr>
          <w:rFonts w:ascii="Times New Roman" w:eastAsia="Calibri" w:hAnsi="Times New Roman" w:cs="Times New Roman"/>
        </w:rPr>
        <w:t>, prot. n</w:t>
      </w:r>
      <w:r w:rsidR="00A321AA" w:rsidRPr="0032510D">
        <w:rPr>
          <w:rFonts w:ascii="Times New Roman" w:eastAsia="Calibri" w:hAnsi="Times New Roman" w:cs="Times New Roman"/>
        </w:rPr>
        <w:t xml:space="preserve">. </w:t>
      </w:r>
      <w:r w:rsidR="00A321AA" w:rsidRPr="0032510D">
        <w:rPr>
          <w:rFonts w:ascii="Times New Roman" w:hAnsi="Times New Roman"/>
        </w:rPr>
        <w:t>__,</w:t>
      </w:r>
      <w:r w:rsidR="00A321AA" w:rsidRPr="0032510D">
        <w:rPr>
          <w:rFonts w:ascii="Times New Roman" w:eastAsia="Calibri" w:hAnsi="Times New Roman" w:cs="Times New Roman"/>
        </w:rPr>
        <w:t xml:space="preserve"> del</w:t>
      </w:r>
      <w:r w:rsidR="00442231" w:rsidRPr="0032510D">
        <w:rPr>
          <w:rFonts w:ascii="Times New Roman" w:eastAsia="Calibri" w:hAnsi="Times New Roman" w:cs="Times New Roman"/>
        </w:rPr>
        <w:t xml:space="preserve"> </w:t>
      </w:r>
      <w:r w:rsidR="00A321AA" w:rsidRPr="0032510D">
        <w:rPr>
          <w:rFonts w:ascii="Times New Roman" w:hAnsi="Times New Roman"/>
        </w:rPr>
        <w:t xml:space="preserve">__ </w:t>
      </w:r>
      <w:r w:rsidR="00A321AA" w:rsidRPr="0032510D">
        <w:rPr>
          <w:rFonts w:ascii="Times New Roman" w:eastAsia="Calibri" w:hAnsi="Times New Roman" w:cs="Times New Roman"/>
        </w:rPr>
        <w:t>quale</w:t>
      </w:r>
      <w:r w:rsidR="00442231" w:rsidRPr="0032510D">
        <w:rPr>
          <w:rFonts w:ascii="Times New Roman" w:eastAsia="Calibri" w:hAnsi="Times New Roman" w:cs="Times New Roman"/>
        </w:rPr>
        <w:t xml:space="preserve"> Responsabile Unico del Procedimento (di seguito, “</w:t>
      </w:r>
      <w:r w:rsidR="00442231" w:rsidRPr="0032510D">
        <w:rPr>
          <w:rFonts w:ascii="Times New Roman" w:eastAsia="Calibri" w:hAnsi="Times New Roman" w:cs="Times New Roman"/>
          <w:i/>
          <w:iCs/>
        </w:rPr>
        <w:t>R.U.P</w:t>
      </w:r>
      <w:r w:rsidR="00442231" w:rsidRPr="0032510D">
        <w:rPr>
          <w:rFonts w:ascii="Times New Roman" w:eastAsia="Calibri" w:hAnsi="Times New Roman" w:cs="Times New Roman"/>
        </w:rPr>
        <w:t>.”);</w:t>
      </w:r>
    </w:p>
    <w:p w14:paraId="0FC65D74" w14:textId="2F096447" w:rsidR="00442231" w:rsidRPr="0032510D" w:rsidRDefault="0038678D" w:rsidP="00793C8E">
      <w:pPr>
        <w:pStyle w:val="Paragrafoelenco"/>
        <w:numPr>
          <w:ilvl w:val="0"/>
          <w:numId w:val="8"/>
        </w:numPr>
        <w:spacing w:afterLines="80" w:after="192" w:line="240" w:lineRule="auto"/>
        <w:ind w:left="567" w:hanging="567"/>
        <w:contextualSpacing w:val="0"/>
        <w:jc w:val="both"/>
        <w:rPr>
          <w:rFonts w:ascii="Times New Roman" w:eastAsia="Calibri" w:hAnsi="Times New Roman" w:cs="Times New Roman"/>
        </w:rPr>
      </w:pPr>
      <w:r w:rsidRPr="0032510D">
        <w:rPr>
          <w:rFonts w:ascii="Times New Roman" w:eastAsia="Calibri" w:hAnsi="Times New Roman" w:cs="Times New Roman"/>
        </w:rPr>
        <w:t>TENUTO CONTO della</w:t>
      </w:r>
      <w:r w:rsidR="00442231" w:rsidRPr="0032510D">
        <w:rPr>
          <w:rFonts w:ascii="Times New Roman" w:eastAsia="Calibri" w:hAnsi="Times New Roman" w:cs="Times New Roman"/>
        </w:rPr>
        <w:t xml:space="preserve"> determina a contrarre n.</w:t>
      </w:r>
      <w:r w:rsidR="00732BED" w:rsidRPr="0032510D">
        <w:rPr>
          <w:rFonts w:ascii="Times New Roman" w:eastAsia="Calibri" w:hAnsi="Times New Roman" w:cs="Times New Roman"/>
        </w:rPr>
        <w:t xml:space="preserve"> </w:t>
      </w:r>
      <w:r w:rsidR="00A321AA" w:rsidRPr="0032510D">
        <w:rPr>
          <w:rFonts w:ascii="Times New Roman" w:hAnsi="Times New Roman"/>
        </w:rPr>
        <w:t xml:space="preserve">__ </w:t>
      </w:r>
      <w:r w:rsidR="00A321AA" w:rsidRPr="0032510D">
        <w:rPr>
          <w:rFonts w:ascii="Times New Roman" w:eastAsia="Calibri" w:hAnsi="Times New Roman" w:cs="Times New Roman"/>
        </w:rPr>
        <w:t xml:space="preserve">del </w:t>
      </w:r>
      <w:r w:rsidR="00A321AA" w:rsidRPr="0032510D">
        <w:rPr>
          <w:rFonts w:ascii="Times New Roman" w:hAnsi="Times New Roman"/>
        </w:rPr>
        <w:t>__;</w:t>
      </w:r>
    </w:p>
    <w:p w14:paraId="47FBE882" w14:textId="652D19F3" w:rsidR="00442231" w:rsidRPr="0032510D" w:rsidRDefault="0038678D" w:rsidP="00793C8E">
      <w:pPr>
        <w:pStyle w:val="Paragrafoelenco"/>
        <w:numPr>
          <w:ilvl w:val="0"/>
          <w:numId w:val="8"/>
        </w:numPr>
        <w:spacing w:afterLines="80" w:after="192" w:line="240" w:lineRule="auto"/>
        <w:ind w:left="567" w:hanging="567"/>
        <w:contextualSpacing w:val="0"/>
        <w:jc w:val="both"/>
        <w:rPr>
          <w:rFonts w:ascii="Times New Roman" w:eastAsia="Calibri" w:hAnsi="Times New Roman" w:cs="Times New Roman"/>
        </w:rPr>
      </w:pPr>
      <w:r w:rsidRPr="0032510D">
        <w:rPr>
          <w:rFonts w:ascii="Times New Roman" w:eastAsia="Calibri" w:hAnsi="Times New Roman" w:cs="Times New Roman"/>
        </w:rPr>
        <w:t xml:space="preserve">CONSIDERATA </w:t>
      </w:r>
      <w:r w:rsidR="00442231" w:rsidRPr="0032510D">
        <w:rPr>
          <w:rFonts w:ascii="Times New Roman" w:eastAsia="Calibri" w:hAnsi="Times New Roman" w:cs="Times New Roman"/>
        </w:rPr>
        <w:t xml:space="preserve">la relazione del R.U.P. </w:t>
      </w:r>
      <w:r w:rsidR="00A321AA" w:rsidRPr="0032510D">
        <w:rPr>
          <w:rFonts w:ascii="Times New Roman" w:eastAsia="Calibri" w:hAnsi="Times New Roman" w:cs="Times New Roman"/>
        </w:rPr>
        <w:t xml:space="preserve">del </w:t>
      </w:r>
      <w:r w:rsidR="00A321AA" w:rsidRPr="0032510D">
        <w:rPr>
          <w:rFonts w:ascii="Times New Roman" w:hAnsi="Times New Roman"/>
        </w:rPr>
        <w:t>__,</w:t>
      </w:r>
      <w:r w:rsidR="00442231" w:rsidRPr="0032510D">
        <w:rPr>
          <w:rFonts w:ascii="Times New Roman" w:eastAsia="Calibri" w:hAnsi="Times New Roman" w:cs="Times New Roman"/>
        </w:rPr>
        <w:t xml:space="preserve"> prot</w:t>
      </w:r>
      <w:r w:rsidR="00A321AA" w:rsidRPr="0032510D">
        <w:rPr>
          <w:rFonts w:ascii="Times New Roman" w:eastAsia="Calibri" w:hAnsi="Times New Roman" w:cs="Times New Roman"/>
        </w:rPr>
        <w:t>.</w:t>
      </w:r>
      <w:r w:rsidR="00442231" w:rsidRPr="0032510D">
        <w:rPr>
          <w:rFonts w:ascii="Times New Roman" w:eastAsia="Calibri" w:hAnsi="Times New Roman" w:cs="Times New Roman"/>
        </w:rPr>
        <w:t xml:space="preserve"> n.</w:t>
      </w:r>
      <w:r w:rsidR="00732BED" w:rsidRPr="0032510D">
        <w:rPr>
          <w:rFonts w:ascii="Times New Roman" w:eastAsia="Calibri" w:hAnsi="Times New Roman" w:cs="Times New Roman"/>
        </w:rPr>
        <w:t xml:space="preserve"> </w:t>
      </w:r>
      <w:r w:rsidR="00A321AA" w:rsidRPr="0032510D">
        <w:rPr>
          <w:rFonts w:ascii="Times New Roman" w:hAnsi="Times New Roman"/>
        </w:rPr>
        <w:t>__;</w:t>
      </w:r>
      <w:r w:rsidR="00442231" w:rsidRPr="0032510D">
        <w:rPr>
          <w:rFonts w:ascii="Times New Roman" w:eastAsia="Calibri" w:hAnsi="Times New Roman" w:cs="Times New Roman"/>
        </w:rPr>
        <w:t xml:space="preserve"> </w:t>
      </w:r>
    </w:p>
    <w:p w14:paraId="5821967F" w14:textId="3EF8D89A" w:rsidR="00442231" w:rsidRPr="0032510D" w:rsidRDefault="00FD765E" w:rsidP="00793C8E">
      <w:pPr>
        <w:pStyle w:val="Paragrafoelenco"/>
        <w:numPr>
          <w:ilvl w:val="0"/>
          <w:numId w:val="8"/>
        </w:numPr>
        <w:spacing w:afterLines="80" w:after="192" w:line="240" w:lineRule="auto"/>
        <w:ind w:left="567" w:hanging="567"/>
        <w:contextualSpacing w:val="0"/>
        <w:jc w:val="both"/>
        <w:rPr>
          <w:rFonts w:ascii="Times New Roman" w:eastAsia="Calibri" w:hAnsi="Times New Roman" w:cs="Times New Roman"/>
        </w:rPr>
      </w:pPr>
      <w:r w:rsidRPr="0032510D">
        <w:rPr>
          <w:rFonts w:ascii="Times New Roman" w:eastAsia="Calibri" w:hAnsi="Times New Roman" w:cs="Times New Roman"/>
        </w:rPr>
        <w:t>TENUTO CONTO dell’indizione</w:t>
      </w:r>
      <w:r w:rsidR="00442231" w:rsidRPr="0032510D">
        <w:rPr>
          <w:rFonts w:ascii="Times New Roman" w:eastAsia="Calibri" w:hAnsi="Times New Roman" w:cs="Times New Roman"/>
        </w:rPr>
        <w:t xml:space="preserve"> della procedura di gara con scadenza del termine di ricezione delle offerte intercorso in </w:t>
      </w:r>
      <w:r w:rsidR="004671BE" w:rsidRPr="0032510D">
        <w:rPr>
          <w:rFonts w:ascii="Times New Roman" w:eastAsia="Calibri" w:hAnsi="Times New Roman" w:cs="Times New Roman"/>
        </w:rPr>
        <w:t xml:space="preserve">data </w:t>
      </w:r>
      <w:r w:rsidR="004671BE" w:rsidRPr="0032510D">
        <w:rPr>
          <w:rFonts w:ascii="Times New Roman" w:hAnsi="Times New Roman"/>
        </w:rPr>
        <w:t>__;</w:t>
      </w:r>
      <w:r w:rsidR="00442231" w:rsidRPr="0032510D">
        <w:rPr>
          <w:rFonts w:ascii="Times New Roman" w:eastAsia="Calibri" w:hAnsi="Times New Roman" w:cs="Times New Roman"/>
        </w:rPr>
        <w:t xml:space="preserve"> </w:t>
      </w:r>
    </w:p>
    <w:p w14:paraId="1B975F74" w14:textId="056F8C30" w:rsidR="00442231" w:rsidRPr="0032510D" w:rsidRDefault="00FD765E" w:rsidP="00793C8E">
      <w:pPr>
        <w:pStyle w:val="Paragrafoelenco"/>
        <w:numPr>
          <w:ilvl w:val="0"/>
          <w:numId w:val="8"/>
        </w:numPr>
        <w:spacing w:afterLines="80" w:after="192" w:line="240" w:lineRule="auto"/>
        <w:ind w:left="567" w:hanging="567"/>
        <w:contextualSpacing w:val="0"/>
        <w:jc w:val="both"/>
        <w:rPr>
          <w:rFonts w:ascii="Times New Roman" w:eastAsia="Calibri" w:hAnsi="Times New Roman" w:cs="Times New Roman"/>
        </w:rPr>
      </w:pPr>
      <w:r w:rsidRPr="0032510D">
        <w:rPr>
          <w:rFonts w:ascii="Times New Roman" w:eastAsia="Calibri" w:hAnsi="Times New Roman" w:cs="Times New Roman"/>
        </w:rPr>
        <w:t>TENUTO CONTO altresì del</w:t>
      </w:r>
      <w:r w:rsidR="00442231" w:rsidRPr="0032510D">
        <w:rPr>
          <w:rFonts w:ascii="Times New Roman" w:eastAsia="Calibri" w:hAnsi="Times New Roman" w:cs="Times New Roman"/>
        </w:rPr>
        <w:t xml:space="preserve">la ricezione </w:t>
      </w:r>
      <w:r w:rsidR="004671BE" w:rsidRPr="0032510D">
        <w:rPr>
          <w:rFonts w:ascii="Times New Roman" w:eastAsia="Calibri" w:hAnsi="Times New Roman" w:cs="Times New Roman"/>
        </w:rPr>
        <w:t xml:space="preserve">di </w:t>
      </w:r>
      <w:r w:rsidR="005A6ADE" w:rsidRPr="0032510D">
        <w:rPr>
          <w:rFonts w:ascii="Times New Roman" w:eastAsia="Calibri" w:hAnsi="Times New Roman" w:cs="Times New Roman"/>
        </w:rPr>
        <w:t>_</w:t>
      </w:r>
      <w:r w:rsidR="004671BE" w:rsidRPr="0032510D">
        <w:rPr>
          <w:rFonts w:ascii="Times New Roman" w:hAnsi="Times New Roman"/>
        </w:rPr>
        <w:t>_</w:t>
      </w:r>
      <w:r w:rsidR="005A6ADE" w:rsidRPr="0032510D">
        <w:rPr>
          <w:rFonts w:ascii="Times New Roman" w:eastAsia="Calibri" w:hAnsi="Times New Roman" w:cs="Times New Roman"/>
        </w:rPr>
        <w:t xml:space="preserve"> </w:t>
      </w:r>
      <w:r w:rsidR="00451665" w:rsidRPr="0032510D">
        <w:rPr>
          <w:rFonts w:ascii="Times New Roman" w:eastAsia="Calibri" w:hAnsi="Times New Roman" w:cs="Times New Roman"/>
        </w:rPr>
        <w:t>(</w:t>
      </w:r>
      <w:r w:rsidR="00442231" w:rsidRPr="0032510D">
        <w:rPr>
          <w:rFonts w:ascii="Times New Roman" w:eastAsia="Calibri" w:hAnsi="Times New Roman" w:cs="Times New Roman"/>
          <w:b/>
          <w:bCs/>
          <w:i/>
          <w:iCs/>
        </w:rPr>
        <w:t>indicare</w:t>
      </w:r>
      <w:r w:rsidR="00442231" w:rsidRPr="0032510D">
        <w:rPr>
          <w:rFonts w:ascii="Times New Roman" w:eastAsia="Calibri" w:hAnsi="Times New Roman" w:cs="Times New Roman"/>
          <w:i/>
          <w:iCs/>
        </w:rPr>
        <w:t xml:space="preserve"> il numero di offerte)</w:t>
      </w:r>
      <w:r w:rsidR="00442231" w:rsidRPr="0032510D">
        <w:rPr>
          <w:rFonts w:ascii="Times New Roman" w:eastAsia="Calibri" w:hAnsi="Times New Roman" w:cs="Times New Roman"/>
        </w:rPr>
        <w:t xml:space="preserve"> pervenute dagli operatori economici allo scadere del termine di ricezione di cui al punto precedente; </w:t>
      </w:r>
    </w:p>
    <w:p w14:paraId="6B1FDEDD" w14:textId="6EC77170" w:rsidR="000552AE" w:rsidRPr="0032510D" w:rsidRDefault="00FD765E" w:rsidP="00793C8E">
      <w:pPr>
        <w:pStyle w:val="Paragrafoelenco"/>
        <w:numPr>
          <w:ilvl w:val="0"/>
          <w:numId w:val="8"/>
        </w:numPr>
        <w:spacing w:afterLines="80" w:after="192" w:line="240" w:lineRule="auto"/>
        <w:ind w:left="567" w:hanging="567"/>
        <w:contextualSpacing w:val="0"/>
        <w:jc w:val="both"/>
        <w:rPr>
          <w:rFonts w:ascii="Times New Roman" w:eastAsia="Calibri" w:hAnsi="Times New Roman" w:cs="Times New Roman"/>
        </w:rPr>
      </w:pPr>
      <w:r w:rsidRPr="0032510D">
        <w:rPr>
          <w:rFonts w:ascii="Times New Roman" w:eastAsia="Calibri" w:hAnsi="Times New Roman" w:cs="Times New Roman"/>
        </w:rPr>
        <w:t xml:space="preserve">CONSIDERATA </w:t>
      </w:r>
      <w:r w:rsidR="00442231" w:rsidRPr="0032510D">
        <w:rPr>
          <w:rFonts w:ascii="Times New Roman" w:eastAsia="Calibri" w:hAnsi="Times New Roman" w:cs="Times New Roman"/>
        </w:rPr>
        <w:t>la necessità di procedere alla nomina della Commissione giudicatrice relativa all’intervento in oggetto</w:t>
      </w:r>
      <w:r w:rsidR="00F60E76" w:rsidRPr="0032510D">
        <w:rPr>
          <w:rFonts w:ascii="Times New Roman" w:eastAsia="Calibri" w:hAnsi="Times New Roman" w:cs="Times New Roman"/>
        </w:rPr>
        <w:t>;</w:t>
      </w:r>
    </w:p>
    <w:p w14:paraId="744A6E4C" w14:textId="77777777" w:rsidR="008743E4" w:rsidRPr="0032510D" w:rsidRDefault="008743E4" w:rsidP="003B2AE9">
      <w:pPr>
        <w:pStyle w:val="Default"/>
        <w:jc w:val="both"/>
        <w:rPr>
          <w:rFonts w:ascii="Times New Roman" w:hAnsi="Times New Roman" w:cs="Times New Roman"/>
          <w:b/>
          <w:bCs/>
          <w:color w:val="auto"/>
          <w:sz w:val="22"/>
          <w:szCs w:val="22"/>
        </w:rPr>
      </w:pPr>
    </w:p>
    <w:p w14:paraId="7D819465" w14:textId="6B032FB7" w:rsidR="008743E4" w:rsidRPr="0032510D" w:rsidRDefault="008743E4" w:rsidP="003B2AE9">
      <w:pPr>
        <w:pStyle w:val="Default"/>
        <w:jc w:val="both"/>
        <w:rPr>
          <w:rFonts w:ascii="Times New Roman" w:hAnsi="Times New Roman" w:cs="Times New Roman"/>
          <w:b/>
          <w:bCs/>
          <w:color w:val="auto"/>
          <w:sz w:val="22"/>
          <w:szCs w:val="22"/>
        </w:rPr>
      </w:pPr>
      <w:r w:rsidRPr="0032510D">
        <w:rPr>
          <w:rFonts w:ascii="Times New Roman" w:hAnsi="Times New Roman" w:cs="Times New Roman"/>
          <w:b/>
          <w:bCs/>
          <w:color w:val="auto"/>
          <w:sz w:val="22"/>
          <w:szCs w:val="22"/>
        </w:rPr>
        <w:t xml:space="preserve">TUTTO QUANTO SOPRA PREMESSO, </w:t>
      </w:r>
    </w:p>
    <w:p w14:paraId="6F26EDB6" w14:textId="77777777" w:rsidR="008743E4" w:rsidRPr="0032510D" w:rsidRDefault="008743E4" w:rsidP="003B2AE9">
      <w:pPr>
        <w:pStyle w:val="Default"/>
        <w:jc w:val="both"/>
        <w:rPr>
          <w:rFonts w:ascii="Times New Roman" w:hAnsi="Times New Roman" w:cs="Times New Roman"/>
          <w:b/>
          <w:bCs/>
          <w:color w:val="auto"/>
          <w:sz w:val="22"/>
          <w:szCs w:val="22"/>
        </w:rPr>
      </w:pPr>
    </w:p>
    <w:p w14:paraId="377DAA83" w14:textId="06606574" w:rsidR="008743E4" w:rsidRPr="0032510D" w:rsidRDefault="008743E4" w:rsidP="003B2AE9">
      <w:pPr>
        <w:pStyle w:val="Default"/>
        <w:jc w:val="center"/>
        <w:rPr>
          <w:rFonts w:ascii="Times New Roman" w:hAnsi="Times New Roman" w:cs="Times New Roman"/>
          <w:b/>
          <w:bCs/>
          <w:color w:val="auto"/>
          <w:sz w:val="22"/>
          <w:szCs w:val="22"/>
        </w:rPr>
      </w:pPr>
      <w:r w:rsidRPr="0032510D">
        <w:rPr>
          <w:rFonts w:ascii="Times New Roman" w:hAnsi="Times New Roman" w:cs="Times New Roman"/>
          <w:b/>
          <w:bCs/>
          <w:color w:val="auto"/>
          <w:sz w:val="22"/>
          <w:szCs w:val="22"/>
        </w:rPr>
        <w:t>DETERMINA</w:t>
      </w:r>
    </w:p>
    <w:p w14:paraId="3B20CC9C" w14:textId="77777777" w:rsidR="004671BE" w:rsidRPr="0032510D" w:rsidRDefault="004671BE" w:rsidP="003B2AE9">
      <w:pPr>
        <w:pStyle w:val="Default"/>
        <w:jc w:val="center"/>
        <w:rPr>
          <w:rFonts w:ascii="Times New Roman" w:hAnsi="Times New Roman" w:cs="Times New Roman"/>
          <w:b/>
          <w:bCs/>
          <w:color w:val="auto"/>
          <w:sz w:val="22"/>
          <w:szCs w:val="22"/>
        </w:rPr>
      </w:pPr>
    </w:p>
    <w:p w14:paraId="1AF9C24F" w14:textId="77777777" w:rsidR="004671BE" w:rsidRPr="0032510D" w:rsidRDefault="00442231" w:rsidP="004671BE">
      <w:pPr>
        <w:pStyle w:val="Default"/>
        <w:jc w:val="both"/>
        <w:rPr>
          <w:rFonts w:ascii="Times New Roman" w:hAnsi="Times New Roman" w:cs="Times New Roman"/>
          <w:color w:val="auto"/>
          <w:sz w:val="22"/>
          <w:szCs w:val="22"/>
        </w:rPr>
      </w:pPr>
      <w:r w:rsidRPr="0032510D">
        <w:rPr>
          <w:rFonts w:ascii="Times New Roman" w:hAnsi="Times New Roman" w:cs="Times New Roman"/>
          <w:color w:val="auto"/>
          <w:sz w:val="22"/>
          <w:szCs w:val="22"/>
        </w:rPr>
        <w:t>per la valutazione, sulla base del miglior rapporto qualità/prezzo, delle offerte, dal punto di vista tecnico</w:t>
      </w:r>
    </w:p>
    <w:p w14:paraId="63BF6EFF" w14:textId="77777777" w:rsidR="004671BE" w:rsidRPr="0032510D" w:rsidRDefault="00442231" w:rsidP="004671BE">
      <w:pPr>
        <w:pStyle w:val="Default"/>
        <w:jc w:val="both"/>
        <w:rPr>
          <w:rFonts w:ascii="Times New Roman" w:hAnsi="Times New Roman" w:cs="Times New Roman"/>
          <w:color w:val="auto"/>
          <w:sz w:val="22"/>
          <w:szCs w:val="22"/>
        </w:rPr>
      </w:pPr>
      <w:r w:rsidRPr="0032510D">
        <w:rPr>
          <w:rFonts w:ascii="Times New Roman" w:hAnsi="Times New Roman" w:cs="Times New Roman"/>
          <w:color w:val="auto"/>
          <w:sz w:val="22"/>
          <w:szCs w:val="22"/>
        </w:rPr>
        <w:t>(</w:t>
      </w:r>
      <w:r w:rsidRPr="0032510D">
        <w:rPr>
          <w:rFonts w:ascii="Times New Roman" w:hAnsi="Times New Roman" w:cs="Times New Roman"/>
          <w:i/>
          <w:iCs/>
          <w:color w:val="auto"/>
          <w:sz w:val="22"/>
          <w:szCs w:val="22"/>
        </w:rPr>
        <w:t>offerta tecnica</w:t>
      </w:r>
      <w:r w:rsidRPr="0032510D">
        <w:rPr>
          <w:rFonts w:ascii="Times New Roman" w:hAnsi="Times New Roman" w:cs="Times New Roman"/>
          <w:color w:val="auto"/>
          <w:sz w:val="22"/>
          <w:szCs w:val="22"/>
        </w:rPr>
        <w:t>) ed economico (</w:t>
      </w:r>
      <w:r w:rsidRPr="0032510D">
        <w:rPr>
          <w:rFonts w:ascii="Times New Roman" w:hAnsi="Times New Roman" w:cs="Times New Roman"/>
          <w:i/>
          <w:iCs/>
          <w:color w:val="auto"/>
          <w:sz w:val="22"/>
          <w:szCs w:val="22"/>
        </w:rPr>
        <w:t>offerta economica</w:t>
      </w:r>
      <w:r w:rsidRPr="0032510D">
        <w:rPr>
          <w:rFonts w:ascii="Times New Roman" w:hAnsi="Times New Roman" w:cs="Times New Roman"/>
          <w:color w:val="auto"/>
          <w:sz w:val="22"/>
          <w:szCs w:val="22"/>
        </w:rPr>
        <w:t>), pervenute nei termini dagli operatori economici</w:t>
      </w:r>
    </w:p>
    <w:p w14:paraId="1ACE5B29" w14:textId="77777777" w:rsidR="004671BE" w:rsidRPr="0032510D" w:rsidRDefault="00442231" w:rsidP="004671BE">
      <w:pPr>
        <w:pStyle w:val="Default"/>
        <w:jc w:val="both"/>
        <w:rPr>
          <w:rFonts w:ascii="Times New Roman" w:hAnsi="Times New Roman" w:cs="Times New Roman"/>
          <w:color w:val="auto"/>
          <w:sz w:val="22"/>
          <w:szCs w:val="22"/>
        </w:rPr>
      </w:pPr>
      <w:r w:rsidRPr="0032510D">
        <w:rPr>
          <w:rFonts w:ascii="Times New Roman" w:hAnsi="Times New Roman" w:cs="Times New Roman"/>
          <w:color w:val="auto"/>
          <w:sz w:val="22"/>
          <w:szCs w:val="22"/>
        </w:rPr>
        <w:t>nell’ambito della procedura di gara in oggetto, nonché, ove applicabile, per la eventuale valutazione, in</w:t>
      </w:r>
    </w:p>
    <w:p w14:paraId="5F153A10" w14:textId="19BA001B" w:rsidR="00442231" w:rsidRPr="0032510D" w:rsidRDefault="00442231" w:rsidP="004671BE">
      <w:pPr>
        <w:pStyle w:val="Default"/>
        <w:jc w:val="both"/>
        <w:rPr>
          <w:rFonts w:ascii="Times New Roman" w:hAnsi="Times New Roman" w:cs="Times New Roman"/>
          <w:color w:val="auto"/>
          <w:sz w:val="22"/>
          <w:szCs w:val="22"/>
        </w:rPr>
      </w:pPr>
      <w:r w:rsidRPr="0032510D">
        <w:rPr>
          <w:rFonts w:ascii="Times New Roman" w:hAnsi="Times New Roman" w:cs="Times New Roman"/>
          <w:color w:val="auto"/>
          <w:sz w:val="22"/>
          <w:szCs w:val="22"/>
        </w:rPr>
        <w:t>supporto al RUP, della congruità delle offerte ai sensi dell’art</w:t>
      </w:r>
      <w:r w:rsidR="00852525" w:rsidRPr="0032510D">
        <w:rPr>
          <w:rFonts w:ascii="Times New Roman" w:hAnsi="Times New Roman" w:cs="Times New Roman"/>
          <w:color w:val="auto"/>
          <w:sz w:val="22"/>
          <w:szCs w:val="22"/>
        </w:rPr>
        <w:t>.</w:t>
      </w:r>
      <w:r w:rsidRPr="0032510D">
        <w:rPr>
          <w:rFonts w:ascii="Times New Roman" w:hAnsi="Times New Roman" w:cs="Times New Roman"/>
          <w:color w:val="auto"/>
          <w:sz w:val="22"/>
          <w:szCs w:val="22"/>
        </w:rPr>
        <w:t xml:space="preserve"> 97 del Codice dei Contratt</w:t>
      </w:r>
      <w:r w:rsidR="004671BE" w:rsidRPr="0032510D">
        <w:rPr>
          <w:rFonts w:ascii="Times New Roman" w:hAnsi="Times New Roman" w:cs="Times New Roman"/>
          <w:color w:val="auto"/>
          <w:sz w:val="22"/>
          <w:szCs w:val="22"/>
        </w:rPr>
        <w:t xml:space="preserve">i </w:t>
      </w:r>
      <w:r w:rsidRPr="0032510D">
        <w:rPr>
          <w:rFonts w:ascii="Times New Roman" w:hAnsi="Times New Roman" w:cs="Times New Roman"/>
          <w:color w:val="auto"/>
          <w:sz w:val="22"/>
          <w:szCs w:val="22"/>
        </w:rPr>
        <w:t>pubblici, d</w:t>
      </w:r>
      <w:r w:rsidR="004671BE" w:rsidRPr="0032510D">
        <w:rPr>
          <w:rFonts w:ascii="Times New Roman" w:hAnsi="Times New Roman" w:cs="Times New Roman"/>
          <w:color w:val="auto"/>
          <w:sz w:val="22"/>
          <w:szCs w:val="22"/>
        </w:rPr>
        <w:t xml:space="preserve">i </w:t>
      </w:r>
      <w:r w:rsidRPr="0032510D">
        <w:rPr>
          <w:rFonts w:ascii="Times New Roman" w:hAnsi="Times New Roman" w:cs="Times New Roman"/>
          <w:color w:val="auto"/>
          <w:sz w:val="22"/>
          <w:szCs w:val="22"/>
        </w:rPr>
        <w:t>nominare ai sensi del combinato disposto degli art</w:t>
      </w:r>
      <w:r w:rsidR="00852525" w:rsidRPr="0032510D">
        <w:rPr>
          <w:rFonts w:ascii="Times New Roman" w:hAnsi="Times New Roman" w:cs="Times New Roman"/>
          <w:color w:val="auto"/>
          <w:sz w:val="22"/>
          <w:szCs w:val="22"/>
        </w:rPr>
        <w:t>t.</w:t>
      </w:r>
      <w:r w:rsidRPr="0032510D">
        <w:rPr>
          <w:rFonts w:ascii="Times New Roman" w:hAnsi="Times New Roman" w:cs="Times New Roman"/>
          <w:color w:val="auto"/>
          <w:sz w:val="22"/>
          <w:szCs w:val="22"/>
        </w:rPr>
        <w:t xml:space="preserve"> 77, 78 e 216, co. 12, del Codice dei</w:t>
      </w:r>
      <w:r w:rsidR="004671BE" w:rsidRPr="0032510D">
        <w:rPr>
          <w:rFonts w:ascii="Times New Roman" w:hAnsi="Times New Roman" w:cs="Times New Roman"/>
          <w:color w:val="auto"/>
          <w:sz w:val="22"/>
          <w:szCs w:val="22"/>
        </w:rPr>
        <w:t xml:space="preserve"> </w:t>
      </w:r>
      <w:r w:rsidRPr="0032510D">
        <w:rPr>
          <w:rFonts w:ascii="Times New Roman" w:hAnsi="Times New Roman" w:cs="Times New Roman"/>
          <w:color w:val="auto"/>
          <w:sz w:val="22"/>
          <w:szCs w:val="22"/>
        </w:rPr>
        <w:t>Contratti pubblici, la Commissione di aggiudicazione per la procedura di gara in oggetto, nelle persone di seguito indicate:</w:t>
      </w:r>
    </w:p>
    <w:p w14:paraId="4C615C37" w14:textId="27B1FAA4" w:rsidR="00442231" w:rsidRPr="0032510D" w:rsidRDefault="00442231" w:rsidP="004671BE">
      <w:pPr>
        <w:pStyle w:val="Default"/>
        <w:ind w:left="709"/>
        <w:jc w:val="both"/>
        <w:rPr>
          <w:rFonts w:ascii="Times New Roman" w:hAnsi="Times New Roman" w:cs="Times New Roman"/>
          <w:color w:val="auto"/>
          <w:sz w:val="22"/>
          <w:szCs w:val="22"/>
        </w:rPr>
      </w:pPr>
      <w:r w:rsidRPr="0032510D">
        <w:rPr>
          <w:rFonts w:ascii="Times New Roman" w:hAnsi="Times New Roman" w:cs="Times New Roman"/>
          <w:color w:val="auto"/>
          <w:sz w:val="22"/>
          <w:szCs w:val="22"/>
        </w:rPr>
        <w:t>- PRESIDENTE</w:t>
      </w:r>
      <w:r w:rsidR="008D18EE" w:rsidRPr="0032510D">
        <w:rPr>
          <w:rFonts w:ascii="Times New Roman" w:hAnsi="Times New Roman" w:cs="Times New Roman"/>
          <w:color w:val="auto"/>
          <w:sz w:val="22"/>
          <w:szCs w:val="22"/>
        </w:rPr>
        <w:t xml:space="preserve"> </w:t>
      </w:r>
      <w:r w:rsidR="00852525" w:rsidRPr="0032510D">
        <w:rPr>
          <w:rFonts w:ascii="Times New Roman" w:hAnsi="Times New Roman" w:cs="Times New Roman"/>
          <w:b/>
          <w:color w:val="auto"/>
          <w:sz w:val="22"/>
          <w:szCs w:val="22"/>
        </w:rPr>
        <w:t>_____</w:t>
      </w:r>
    </w:p>
    <w:p w14:paraId="4E1B931B" w14:textId="2FB7813A" w:rsidR="00442231" w:rsidRPr="0032510D" w:rsidRDefault="00442231" w:rsidP="004671BE">
      <w:pPr>
        <w:pStyle w:val="Default"/>
        <w:ind w:left="709"/>
        <w:jc w:val="both"/>
        <w:rPr>
          <w:rFonts w:ascii="Times New Roman" w:hAnsi="Times New Roman" w:cs="Times New Roman"/>
          <w:color w:val="auto"/>
          <w:sz w:val="22"/>
          <w:szCs w:val="22"/>
        </w:rPr>
      </w:pPr>
      <w:r w:rsidRPr="0032510D">
        <w:rPr>
          <w:rFonts w:ascii="Times New Roman" w:hAnsi="Times New Roman" w:cs="Times New Roman"/>
          <w:color w:val="auto"/>
          <w:sz w:val="22"/>
          <w:szCs w:val="22"/>
        </w:rPr>
        <w:t xml:space="preserve">- COMMISSARIO EFFETTIVO </w:t>
      </w:r>
      <w:r w:rsidR="00852525" w:rsidRPr="0032510D">
        <w:rPr>
          <w:rFonts w:ascii="Times New Roman" w:hAnsi="Times New Roman" w:cs="Times New Roman"/>
          <w:b/>
          <w:color w:val="auto"/>
          <w:sz w:val="22"/>
          <w:szCs w:val="22"/>
        </w:rPr>
        <w:t>_____</w:t>
      </w:r>
    </w:p>
    <w:p w14:paraId="12E74695" w14:textId="3B89F84B" w:rsidR="00442231" w:rsidRPr="0032510D" w:rsidRDefault="00442231" w:rsidP="004671BE">
      <w:pPr>
        <w:pStyle w:val="Default"/>
        <w:ind w:left="709"/>
        <w:jc w:val="both"/>
        <w:rPr>
          <w:rFonts w:ascii="Times New Roman" w:hAnsi="Times New Roman" w:cs="Times New Roman"/>
          <w:color w:val="auto"/>
          <w:sz w:val="22"/>
          <w:szCs w:val="22"/>
        </w:rPr>
      </w:pPr>
      <w:r w:rsidRPr="0032510D">
        <w:rPr>
          <w:rFonts w:ascii="Times New Roman" w:hAnsi="Times New Roman" w:cs="Times New Roman"/>
          <w:color w:val="auto"/>
          <w:sz w:val="22"/>
          <w:szCs w:val="22"/>
        </w:rPr>
        <w:t xml:space="preserve">- COMMISSARIO SUPPLENTE </w:t>
      </w:r>
      <w:r w:rsidR="00852525" w:rsidRPr="0032510D">
        <w:rPr>
          <w:rFonts w:ascii="Times New Roman" w:hAnsi="Times New Roman" w:cs="Times New Roman"/>
          <w:b/>
          <w:color w:val="auto"/>
          <w:sz w:val="22"/>
          <w:szCs w:val="22"/>
        </w:rPr>
        <w:t>_____</w:t>
      </w:r>
    </w:p>
    <w:p w14:paraId="4D8B7874" w14:textId="03D05892" w:rsidR="00442231" w:rsidRPr="0032510D" w:rsidRDefault="00442231" w:rsidP="004671BE">
      <w:pPr>
        <w:pStyle w:val="Default"/>
        <w:ind w:left="709"/>
        <w:jc w:val="both"/>
        <w:rPr>
          <w:rFonts w:ascii="Times New Roman" w:hAnsi="Times New Roman" w:cs="Times New Roman"/>
          <w:b/>
          <w:color w:val="auto"/>
          <w:sz w:val="22"/>
          <w:szCs w:val="22"/>
        </w:rPr>
      </w:pPr>
      <w:r w:rsidRPr="0032510D">
        <w:rPr>
          <w:rFonts w:ascii="Times New Roman" w:hAnsi="Times New Roman" w:cs="Times New Roman"/>
          <w:color w:val="auto"/>
          <w:sz w:val="22"/>
          <w:szCs w:val="22"/>
        </w:rPr>
        <w:t xml:space="preserve">- SEGRETARIO </w:t>
      </w:r>
      <w:r w:rsidR="00852525" w:rsidRPr="0032510D">
        <w:rPr>
          <w:rFonts w:ascii="Times New Roman" w:hAnsi="Times New Roman" w:cs="Times New Roman"/>
          <w:b/>
          <w:color w:val="auto"/>
          <w:sz w:val="22"/>
          <w:szCs w:val="22"/>
        </w:rPr>
        <w:t>_____</w:t>
      </w:r>
    </w:p>
    <w:p w14:paraId="7A98C810" w14:textId="77777777" w:rsidR="00442231" w:rsidRPr="0032510D" w:rsidRDefault="00442231" w:rsidP="004671BE">
      <w:pPr>
        <w:pStyle w:val="Default"/>
        <w:spacing w:after="80"/>
        <w:jc w:val="both"/>
        <w:rPr>
          <w:rFonts w:ascii="Times New Roman" w:hAnsi="Times New Roman" w:cs="Times New Roman"/>
          <w:color w:val="auto"/>
          <w:sz w:val="22"/>
          <w:szCs w:val="22"/>
        </w:rPr>
      </w:pPr>
      <w:r w:rsidRPr="0032510D">
        <w:rPr>
          <w:rFonts w:ascii="Times New Roman" w:hAnsi="Times New Roman" w:cs="Times New Roman"/>
          <w:color w:val="auto"/>
          <w:sz w:val="22"/>
          <w:szCs w:val="22"/>
        </w:rPr>
        <w:t xml:space="preserve">Il Segretario fornirà supporto ai componenti della Commissione giudicatrice. </w:t>
      </w:r>
    </w:p>
    <w:p w14:paraId="52400A6B" w14:textId="2361B5FA" w:rsidR="00442231" w:rsidRPr="0032510D" w:rsidRDefault="00442231" w:rsidP="004671BE">
      <w:pPr>
        <w:pStyle w:val="Default"/>
        <w:spacing w:after="80"/>
        <w:jc w:val="both"/>
        <w:rPr>
          <w:rFonts w:ascii="Times New Roman" w:hAnsi="Times New Roman" w:cs="Times New Roman"/>
          <w:color w:val="auto"/>
          <w:sz w:val="22"/>
          <w:szCs w:val="22"/>
        </w:rPr>
      </w:pPr>
      <w:r w:rsidRPr="0032510D">
        <w:rPr>
          <w:rFonts w:ascii="Times New Roman" w:hAnsi="Times New Roman" w:cs="Times New Roman"/>
          <w:color w:val="auto"/>
          <w:sz w:val="22"/>
          <w:szCs w:val="22"/>
        </w:rPr>
        <w:t>L’accettazione e l’efficacia dell’incarico è subordinata alla sottoscrizione della dichiarazione che sarà rilasciata da ciascun Commissario ai sensi degli art</w:t>
      </w:r>
      <w:r w:rsidR="00852525" w:rsidRPr="0032510D">
        <w:rPr>
          <w:rFonts w:ascii="Times New Roman" w:hAnsi="Times New Roman" w:cs="Times New Roman"/>
          <w:color w:val="auto"/>
          <w:sz w:val="22"/>
          <w:szCs w:val="22"/>
        </w:rPr>
        <w:t>t.</w:t>
      </w:r>
      <w:r w:rsidRPr="0032510D">
        <w:rPr>
          <w:rFonts w:ascii="Times New Roman" w:hAnsi="Times New Roman" w:cs="Times New Roman"/>
          <w:color w:val="auto"/>
          <w:sz w:val="22"/>
          <w:szCs w:val="22"/>
        </w:rPr>
        <w:t xml:space="preserve"> 46, 47 e 76 del D.P.R. n. 445/2000 e ss., circa l’assenza delle cause di conflitto di interesse di cui all’art</w:t>
      </w:r>
      <w:r w:rsidR="00852525" w:rsidRPr="0032510D">
        <w:rPr>
          <w:rFonts w:ascii="Times New Roman" w:hAnsi="Times New Roman" w:cs="Times New Roman"/>
          <w:color w:val="auto"/>
          <w:sz w:val="22"/>
          <w:szCs w:val="22"/>
        </w:rPr>
        <w:t>.</w:t>
      </w:r>
      <w:r w:rsidRPr="0032510D">
        <w:rPr>
          <w:rFonts w:ascii="Times New Roman" w:hAnsi="Times New Roman" w:cs="Times New Roman"/>
          <w:color w:val="auto"/>
          <w:sz w:val="22"/>
          <w:szCs w:val="22"/>
        </w:rPr>
        <w:t xml:space="preserve"> 42 del Codice dei Contratti pubblici, nonché </w:t>
      </w:r>
      <w:r w:rsidRPr="0032510D">
        <w:rPr>
          <w:rFonts w:ascii="Times New Roman" w:hAnsi="Times New Roman" w:cs="Times New Roman"/>
          <w:color w:val="auto"/>
          <w:sz w:val="22"/>
          <w:szCs w:val="22"/>
        </w:rPr>
        <w:lastRenderedPageBreak/>
        <w:t>di cause di incompatibilità previste dall’articolo 77, co</w:t>
      </w:r>
      <w:r w:rsidR="00A14731" w:rsidRPr="0032510D">
        <w:rPr>
          <w:rFonts w:ascii="Times New Roman" w:hAnsi="Times New Roman" w:cs="Times New Roman"/>
          <w:color w:val="auto"/>
          <w:sz w:val="22"/>
          <w:szCs w:val="22"/>
        </w:rPr>
        <w:t>.</w:t>
      </w:r>
      <w:r w:rsidR="00852525" w:rsidRPr="0032510D">
        <w:rPr>
          <w:rFonts w:ascii="Times New Roman" w:hAnsi="Times New Roman" w:cs="Times New Roman"/>
          <w:color w:val="auto"/>
          <w:sz w:val="22"/>
          <w:szCs w:val="22"/>
        </w:rPr>
        <w:t xml:space="preserve"> </w:t>
      </w:r>
      <w:r w:rsidRPr="0032510D">
        <w:rPr>
          <w:rFonts w:ascii="Times New Roman" w:hAnsi="Times New Roman" w:cs="Times New Roman"/>
          <w:color w:val="auto"/>
          <w:sz w:val="22"/>
          <w:szCs w:val="22"/>
        </w:rPr>
        <w:t>4</w:t>
      </w:r>
      <w:r w:rsidR="00852525" w:rsidRPr="0032510D">
        <w:rPr>
          <w:rFonts w:ascii="Times New Roman" w:hAnsi="Times New Roman" w:cs="Times New Roman"/>
          <w:color w:val="auto"/>
          <w:sz w:val="22"/>
          <w:szCs w:val="22"/>
        </w:rPr>
        <w:t xml:space="preserve"> e </w:t>
      </w:r>
      <w:r w:rsidRPr="0032510D">
        <w:rPr>
          <w:rFonts w:ascii="Times New Roman" w:hAnsi="Times New Roman" w:cs="Times New Roman"/>
          <w:color w:val="auto"/>
          <w:sz w:val="22"/>
          <w:szCs w:val="22"/>
        </w:rPr>
        <w:t>6, dall’art</w:t>
      </w:r>
      <w:r w:rsidR="00852525" w:rsidRPr="0032510D">
        <w:rPr>
          <w:rFonts w:ascii="Times New Roman" w:hAnsi="Times New Roman" w:cs="Times New Roman"/>
          <w:color w:val="auto"/>
          <w:sz w:val="22"/>
          <w:szCs w:val="22"/>
        </w:rPr>
        <w:t>.</w:t>
      </w:r>
      <w:r w:rsidRPr="0032510D">
        <w:rPr>
          <w:rFonts w:ascii="Times New Roman" w:hAnsi="Times New Roman" w:cs="Times New Roman"/>
          <w:color w:val="auto"/>
          <w:sz w:val="22"/>
          <w:szCs w:val="22"/>
        </w:rPr>
        <w:t xml:space="preserve"> 35-bis del D.</w:t>
      </w:r>
      <w:r w:rsidR="00852525" w:rsidRPr="0032510D">
        <w:rPr>
          <w:rFonts w:ascii="Times New Roman" w:hAnsi="Times New Roman" w:cs="Times New Roman"/>
          <w:color w:val="auto"/>
          <w:sz w:val="22"/>
          <w:szCs w:val="22"/>
        </w:rPr>
        <w:t xml:space="preserve"> </w:t>
      </w:r>
      <w:r w:rsidRPr="0032510D">
        <w:rPr>
          <w:rFonts w:ascii="Times New Roman" w:hAnsi="Times New Roman" w:cs="Times New Roman"/>
          <w:color w:val="auto"/>
          <w:sz w:val="22"/>
          <w:szCs w:val="22"/>
        </w:rPr>
        <w:t>Lgs. n. 165/2001, come modificato dalla L. n. 190/2012, e dall’ar</w:t>
      </w:r>
      <w:r w:rsidR="00852525" w:rsidRPr="0032510D">
        <w:rPr>
          <w:rFonts w:ascii="Times New Roman" w:hAnsi="Times New Roman" w:cs="Times New Roman"/>
          <w:color w:val="auto"/>
          <w:sz w:val="22"/>
          <w:szCs w:val="22"/>
        </w:rPr>
        <w:t>t.</w:t>
      </w:r>
      <w:r w:rsidRPr="0032510D">
        <w:rPr>
          <w:rFonts w:ascii="Times New Roman" w:hAnsi="Times New Roman" w:cs="Times New Roman"/>
          <w:color w:val="auto"/>
          <w:sz w:val="22"/>
          <w:szCs w:val="22"/>
        </w:rPr>
        <w:t xml:space="preserve"> 51</w:t>
      </w:r>
      <w:r w:rsidR="00852525" w:rsidRPr="0032510D">
        <w:rPr>
          <w:rFonts w:ascii="Times New Roman" w:hAnsi="Times New Roman" w:cs="Times New Roman"/>
          <w:color w:val="auto"/>
          <w:sz w:val="22"/>
          <w:szCs w:val="22"/>
        </w:rPr>
        <w:t xml:space="preserve"> c</w:t>
      </w:r>
      <w:r w:rsidRPr="0032510D">
        <w:rPr>
          <w:rFonts w:ascii="Times New Roman" w:hAnsi="Times New Roman" w:cs="Times New Roman"/>
          <w:color w:val="auto"/>
          <w:sz w:val="22"/>
          <w:szCs w:val="22"/>
        </w:rPr>
        <w:t>.</w:t>
      </w:r>
      <w:r w:rsidR="00852525" w:rsidRPr="0032510D">
        <w:rPr>
          <w:rFonts w:ascii="Times New Roman" w:hAnsi="Times New Roman" w:cs="Times New Roman"/>
          <w:color w:val="auto"/>
          <w:sz w:val="22"/>
          <w:szCs w:val="22"/>
        </w:rPr>
        <w:t>p.c.</w:t>
      </w:r>
      <w:r w:rsidR="005A6ADE" w:rsidRPr="0032510D">
        <w:rPr>
          <w:rFonts w:ascii="Times New Roman" w:hAnsi="Times New Roman" w:cs="Times New Roman"/>
          <w:color w:val="auto"/>
          <w:sz w:val="22"/>
          <w:szCs w:val="22"/>
        </w:rPr>
        <w:t>.</w:t>
      </w:r>
      <w:r w:rsidRPr="0032510D">
        <w:rPr>
          <w:rFonts w:ascii="Times New Roman" w:hAnsi="Times New Roman" w:cs="Times New Roman"/>
          <w:color w:val="auto"/>
          <w:sz w:val="22"/>
          <w:szCs w:val="22"/>
        </w:rPr>
        <w:t xml:space="preserve"> </w:t>
      </w:r>
    </w:p>
    <w:p w14:paraId="7DDC8767" w14:textId="77777777" w:rsidR="00442231" w:rsidRPr="0032510D" w:rsidRDefault="00442231" w:rsidP="004671BE">
      <w:pPr>
        <w:pStyle w:val="Default"/>
        <w:spacing w:after="80"/>
        <w:jc w:val="both"/>
        <w:rPr>
          <w:rFonts w:ascii="Times New Roman" w:hAnsi="Times New Roman" w:cs="Times New Roman"/>
          <w:color w:val="auto"/>
          <w:sz w:val="22"/>
          <w:szCs w:val="22"/>
        </w:rPr>
      </w:pPr>
      <w:r w:rsidRPr="0032510D">
        <w:rPr>
          <w:rFonts w:ascii="Times New Roman" w:hAnsi="Times New Roman" w:cs="Times New Roman"/>
          <w:color w:val="auto"/>
          <w:sz w:val="22"/>
          <w:szCs w:val="22"/>
        </w:rPr>
        <w:t>Qualora le cause, anche potenziali, di incompatibilità e di astensione o di conflitto di interesse fossero rilevabili dal Commissario in sede di gara, a seguito dell’apertura delle offerte, detto Commissario dovrà immediatamente sospendere le operazioni commissariali.</w:t>
      </w:r>
    </w:p>
    <w:p w14:paraId="10438723" w14:textId="77777777" w:rsidR="00442231" w:rsidRPr="0032510D" w:rsidRDefault="00442231" w:rsidP="001B26A1">
      <w:pPr>
        <w:pStyle w:val="Default"/>
        <w:spacing w:after="80"/>
        <w:jc w:val="both"/>
        <w:rPr>
          <w:rFonts w:ascii="Times New Roman" w:hAnsi="Times New Roman" w:cs="Times New Roman"/>
          <w:color w:val="auto"/>
          <w:sz w:val="22"/>
          <w:szCs w:val="22"/>
        </w:rPr>
      </w:pPr>
      <w:r w:rsidRPr="0032510D">
        <w:rPr>
          <w:rFonts w:ascii="Times New Roman" w:hAnsi="Times New Roman" w:cs="Times New Roman"/>
          <w:color w:val="auto"/>
          <w:sz w:val="22"/>
          <w:szCs w:val="22"/>
        </w:rPr>
        <w:t xml:space="preserve">Le operazioni commissariali avranno inizio il giorno e nel luogo che sarà preventivamente comunicato anche agli operatori economici offerenti con adeguato preavviso. </w:t>
      </w:r>
    </w:p>
    <w:p w14:paraId="09A401FD" w14:textId="77777777" w:rsidR="00442231" w:rsidRPr="0032510D" w:rsidRDefault="00442231" w:rsidP="001B26A1">
      <w:pPr>
        <w:pStyle w:val="Default"/>
        <w:spacing w:after="80"/>
        <w:jc w:val="both"/>
        <w:rPr>
          <w:rFonts w:ascii="Times New Roman" w:hAnsi="Times New Roman" w:cs="Times New Roman"/>
          <w:color w:val="auto"/>
          <w:sz w:val="22"/>
          <w:szCs w:val="22"/>
        </w:rPr>
      </w:pPr>
      <w:r w:rsidRPr="0032510D">
        <w:rPr>
          <w:rFonts w:ascii="Times New Roman" w:hAnsi="Times New Roman" w:cs="Times New Roman"/>
          <w:color w:val="auto"/>
          <w:sz w:val="22"/>
          <w:szCs w:val="22"/>
        </w:rPr>
        <w:t>Le sedute di gara potranno essere sospese ed aggiornate ad altra ora o giorni successivi.</w:t>
      </w:r>
    </w:p>
    <w:p w14:paraId="73ED0A31" w14:textId="77777777" w:rsidR="00442231" w:rsidRPr="0032510D" w:rsidRDefault="00442231" w:rsidP="003B2AE9">
      <w:pPr>
        <w:pStyle w:val="Default"/>
        <w:jc w:val="both"/>
        <w:rPr>
          <w:rFonts w:ascii="Times New Roman" w:hAnsi="Times New Roman" w:cs="Times New Roman"/>
          <w:color w:val="auto"/>
          <w:sz w:val="22"/>
          <w:szCs w:val="22"/>
        </w:rPr>
      </w:pPr>
    </w:p>
    <w:p w14:paraId="4CF48EB3" w14:textId="77777777" w:rsidR="0056389A" w:rsidRPr="0032510D" w:rsidRDefault="0056389A" w:rsidP="003B2AE9">
      <w:pPr>
        <w:pStyle w:val="Paragrafoelenco"/>
        <w:spacing w:after="0" w:line="240" w:lineRule="auto"/>
        <w:ind w:left="567"/>
        <w:contextualSpacing w:val="0"/>
        <w:jc w:val="both"/>
        <w:rPr>
          <w:rFonts w:ascii="Times New Roman" w:hAnsi="Times New Roman" w:cs="Times New Roman"/>
        </w:rPr>
      </w:pPr>
    </w:p>
    <w:p w14:paraId="5D134E5E" w14:textId="40D1C969" w:rsidR="0056389A" w:rsidRPr="0032510D" w:rsidRDefault="0056389A" w:rsidP="003B2AE9">
      <w:pPr>
        <w:autoSpaceDE w:val="0"/>
        <w:autoSpaceDN w:val="0"/>
        <w:adjustRightInd w:val="0"/>
        <w:spacing w:after="0" w:line="240" w:lineRule="auto"/>
        <w:ind w:left="4678"/>
        <w:jc w:val="center"/>
        <w:rPr>
          <w:rFonts w:ascii="Times New Roman" w:eastAsia="Times New Roman" w:hAnsi="Times New Roman" w:cs="Times New Roman"/>
          <w:lang w:eastAsia="it-IT"/>
        </w:rPr>
      </w:pPr>
      <w:r w:rsidRPr="0032510D">
        <w:rPr>
          <w:rFonts w:ascii="Times New Roman" w:eastAsia="Times New Roman" w:hAnsi="Times New Roman" w:cs="Times New Roman"/>
          <w:lang w:eastAsia="it-IT"/>
        </w:rPr>
        <w:t xml:space="preserve">Firma del dirigente / Responsabile del </w:t>
      </w:r>
      <w:r w:rsidR="00852525" w:rsidRPr="0032510D">
        <w:rPr>
          <w:rFonts w:ascii="Times New Roman" w:eastAsia="Times New Roman" w:hAnsi="Times New Roman" w:cs="Times New Roman"/>
          <w:lang w:eastAsia="it-IT"/>
        </w:rPr>
        <w:t>P</w:t>
      </w:r>
      <w:r w:rsidR="00AB36A3" w:rsidRPr="0032510D">
        <w:rPr>
          <w:rFonts w:ascii="Times New Roman" w:eastAsia="Times New Roman" w:hAnsi="Times New Roman" w:cs="Times New Roman"/>
          <w:lang w:eastAsia="it-IT"/>
        </w:rPr>
        <w:t>rocedimento</w:t>
      </w:r>
    </w:p>
    <w:p w14:paraId="48B24C82" w14:textId="77777777" w:rsidR="0056389A" w:rsidRPr="0032510D" w:rsidRDefault="0056389A" w:rsidP="003B2AE9">
      <w:pPr>
        <w:autoSpaceDE w:val="0"/>
        <w:autoSpaceDN w:val="0"/>
        <w:adjustRightInd w:val="0"/>
        <w:spacing w:after="0" w:line="240" w:lineRule="auto"/>
        <w:ind w:left="4678"/>
        <w:jc w:val="center"/>
        <w:rPr>
          <w:rFonts w:ascii="Times New Roman" w:eastAsia="Times New Roman" w:hAnsi="Times New Roman" w:cs="Times New Roman"/>
          <w:lang w:eastAsia="it-IT"/>
        </w:rPr>
      </w:pPr>
      <w:r w:rsidRPr="0032510D">
        <w:rPr>
          <w:rFonts w:ascii="Times New Roman" w:eastAsia="Times New Roman" w:hAnsi="Times New Roman" w:cs="Times New Roman"/>
          <w:lang w:eastAsia="it-IT"/>
        </w:rPr>
        <w:t>[</w:t>
      </w:r>
      <w:r w:rsidRPr="0032510D">
        <w:rPr>
          <w:rFonts w:ascii="Times New Roman" w:eastAsia="Times New Roman" w:hAnsi="Times New Roman" w:cs="Times New Roman"/>
          <w:i/>
          <w:iCs/>
          <w:lang w:eastAsia="it-IT"/>
        </w:rPr>
        <w:t>Qualifica, nome cognome</w:t>
      </w:r>
      <w:r w:rsidRPr="0032510D">
        <w:rPr>
          <w:rFonts w:ascii="Times New Roman" w:eastAsia="Times New Roman" w:hAnsi="Times New Roman" w:cs="Times New Roman"/>
          <w:lang w:eastAsia="it-IT"/>
        </w:rPr>
        <w:t>]</w:t>
      </w:r>
    </w:p>
    <w:p w14:paraId="397FEC32" w14:textId="67D9C19D" w:rsidR="00442231" w:rsidRPr="00674DBC" w:rsidRDefault="0056389A" w:rsidP="00452DAA">
      <w:pPr>
        <w:autoSpaceDE w:val="0"/>
        <w:autoSpaceDN w:val="0"/>
        <w:adjustRightInd w:val="0"/>
        <w:spacing w:after="0" w:line="240" w:lineRule="auto"/>
        <w:ind w:left="4678"/>
        <w:jc w:val="center"/>
        <w:rPr>
          <w:rFonts w:ascii="Times New Roman" w:hAnsi="Times New Roman" w:cs="Times New Roman"/>
        </w:rPr>
      </w:pPr>
      <w:r w:rsidRPr="0032510D">
        <w:rPr>
          <w:rFonts w:ascii="Times New Roman" w:eastAsia="Times New Roman" w:hAnsi="Times New Roman" w:cs="Times New Roman"/>
          <w:lang w:eastAsia="it-IT"/>
        </w:rPr>
        <w:t>_______________________</w:t>
      </w:r>
      <w:r w:rsidRPr="00674DBC">
        <w:rPr>
          <w:rFonts w:ascii="Times New Roman" w:eastAsia="Times New Roman" w:hAnsi="Times New Roman" w:cs="Times New Roman"/>
          <w:lang w:eastAsia="it-IT"/>
        </w:rPr>
        <w:t xml:space="preserve"> </w:t>
      </w:r>
    </w:p>
    <w:sectPr w:rsidR="00442231" w:rsidRPr="00674DBC">
      <w:headerReference w:type="even" r:id="rId10"/>
      <w:headerReference w:type="default" r:id="rId11"/>
      <w:footerReference w:type="default" r:id="rId12"/>
      <w:head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D0B9F" w14:textId="77777777" w:rsidR="00CD581B" w:rsidRDefault="00CD581B" w:rsidP="00272019">
      <w:pPr>
        <w:spacing w:after="0" w:line="240" w:lineRule="auto"/>
      </w:pPr>
      <w:r>
        <w:separator/>
      </w:r>
    </w:p>
  </w:endnote>
  <w:endnote w:type="continuationSeparator" w:id="0">
    <w:p w14:paraId="5E215110" w14:textId="77777777" w:rsidR="00CD581B" w:rsidRDefault="00CD581B" w:rsidP="00272019">
      <w:pPr>
        <w:spacing w:after="0" w:line="240" w:lineRule="auto"/>
      </w:pPr>
      <w:r>
        <w:continuationSeparator/>
      </w:r>
    </w:p>
  </w:endnote>
  <w:endnote w:type="continuationNotice" w:id="1">
    <w:p w14:paraId="245E0490" w14:textId="77777777" w:rsidR="00CD581B" w:rsidRDefault="00CD58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457018979"/>
      <w:docPartObj>
        <w:docPartGallery w:val="Page Numbers (Bottom of Page)"/>
        <w:docPartUnique/>
      </w:docPartObj>
    </w:sdtPr>
    <w:sdtContent>
      <w:p w14:paraId="055E5F27" w14:textId="0047E5AC" w:rsidR="006D2985" w:rsidRPr="002B7892" w:rsidRDefault="006D2985">
        <w:pPr>
          <w:pStyle w:val="Pidipagina"/>
          <w:jc w:val="center"/>
          <w:rPr>
            <w:rFonts w:ascii="Times New Roman" w:hAnsi="Times New Roman" w:cs="Times New Roman"/>
          </w:rPr>
        </w:pPr>
        <w:r w:rsidRPr="002B7892">
          <w:rPr>
            <w:rFonts w:ascii="Times New Roman" w:hAnsi="Times New Roman" w:cs="Times New Roman"/>
          </w:rPr>
          <w:fldChar w:fldCharType="begin"/>
        </w:r>
        <w:r w:rsidRPr="002B7892">
          <w:rPr>
            <w:rFonts w:ascii="Times New Roman" w:hAnsi="Times New Roman" w:cs="Times New Roman"/>
          </w:rPr>
          <w:instrText>PAGE   \* MERGEFORMAT</w:instrText>
        </w:r>
        <w:r w:rsidRPr="002B7892">
          <w:rPr>
            <w:rFonts w:ascii="Times New Roman" w:hAnsi="Times New Roman" w:cs="Times New Roman"/>
          </w:rPr>
          <w:fldChar w:fldCharType="separate"/>
        </w:r>
        <w:r w:rsidRPr="002B7892">
          <w:rPr>
            <w:rFonts w:ascii="Times New Roman" w:hAnsi="Times New Roman" w:cs="Times New Roman"/>
          </w:rPr>
          <w:t>2</w:t>
        </w:r>
        <w:r w:rsidRPr="002B7892">
          <w:rPr>
            <w:rFonts w:ascii="Times New Roman" w:hAnsi="Times New Roman" w:cs="Times New Roman"/>
          </w:rPr>
          <w:fldChar w:fldCharType="end"/>
        </w:r>
      </w:p>
    </w:sdtContent>
  </w:sdt>
  <w:p w14:paraId="69370914" w14:textId="77777777" w:rsidR="00586781" w:rsidRDefault="0058678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F83ED" w14:textId="77777777" w:rsidR="00CD581B" w:rsidRDefault="00CD581B" w:rsidP="00272019">
      <w:pPr>
        <w:spacing w:after="0" w:line="240" w:lineRule="auto"/>
      </w:pPr>
      <w:r>
        <w:separator/>
      </w:r>
    </w:p>
  </w:footnote>
  <w:footnote w:type="continuationSeparator" w:id="0">
    <w:p w14:paraId="64B55C4E" w14:textId="77777777" w:rsidR="00CD581B" w:rsidRDefault="00CD581B" w:rsidP="00272019">
      <w:pPr>
        <w:spacing w:after="0" w:line="240" w:lineRule="auto"/>
      </w:pPr>
      <w:r>
        <w:continuationSeparator/>
      </w:r>
    </w:p>
  </w:footnote>
  <w:footnote w:type="continuationNotice" w:id="1">
    <w:p w14:paraId="342F5DFC" w14:textId="77777777" w:rsidR="00CD581B" w:rsidRDefault="00CD58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BD681" w14:textId="6A0534CA" w:rsidR="007578DA" w:rsidRDefault="00000000">
    <w:pPr>
      <w:pStyle w:val="Intestazione"/>
    </w:pPr>
    <w:r>
      <w:rPr>
        <w:noProof/>
      </w:rPr>
      <w:pict w14:anchorId="06EDC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5891" o:spid="_x0000_s1026" type="#_x0000_t136" style="position:absolute;margin-left:0;margin-top:0;width:494.9pt;height:141.4pt;rotation:315;z-index:-251654144;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1BCA" w14:textId="4D8B3266" w:rsidR="00167354" w:rsidRPr="00DF659C" w:rsidRDefault="00000000" w:rsidP="00167354">
    <w:pPr>
      <w:pStyle w:val="Intestazione"/>
      <w:rPr>
        <w:b/>
        <w:bCs/>
        <w:i/>
        <w:iCs/>
      </w:rPr>
    </w:pPr>
    <w:r>
      <w:rPr>
        <w:noProof/>
      </w:rPr>
      <w:pict w14:anchorId="540E6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5892" o:spid="_x0000_s1027" type="#_x0000_t136" style="position:absolute;margin-left:0;margin-top:0;width:494.9pt;height:141.4pt;rotation:315;z-index:-251652096;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r w:rsidR="00167354">
      <w:rPr>
        <w:noProof/>
      </w:rPr>
      <w:drawing>
        <wp:anchor distT="0" distB="0" distL="114300" distR="114300" simplePos="0" relativeHeight="251658240" behindDoc="0" locked="0" layoutInCell="1" allowOverlap="1" wp14:anchorId="2A528878" wp14:editId="384E27B9">
          <wp:simplePos x="0" y="0"/>
          <wp:positionH relativeFrom="column">
            <wp:posOffset>3797935</wp:posOffset>
          </wp:positionH>
          <wp:positionV relativeFrom="paragraph">
            <wp:posOffset>-210185</wp:posOffset>
          </wp:positionV>
          <wp:extent cx="2232660" cy="583565"/>
          <wp:effectExtent l="0" t="0" r="0" b="6985"/>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r="39922"/>
                  <a:stretch>
                    <a:fillRect/>
                  </a:stretch>
                </pic:blipFill>
                <pic:spPr bwMode="auto">
                  <a:xfrm>
                    <a:off x="0" y="0"/>
                    <a:ext cx="2232660" cy="583565"/>
                  </a:xfrm>
                  <a:prstGeom prst="rect">
                    <a:avLst/>
                  </a:prstGeom>
                  <a:noFill/>
                  <a:ln>
                    <a:noFill/>
                  </a:ln>
                </pic:spPr>
              </pic:pic>
            </a:graphicData>
          </a:graphic>
          <wp14:sizeRelH relativeFrom="page">
            <wp14:pctWidth>0</wp14:pctWidth>
          </wp14:sizeRelH>
          <wp14:sizeRelV relativeFrom="page">
            <wp14:pctHeight>0</wp14:pctHeight>
          </wp14:sizeRelV>
        </wp:anchor>
      </w:drawing>
    </w:r>
    <w:r w:rsidR="00167354">
      <w:rPr>
        <w:b/>
        <w:bCs/>
        <w:i/>
        <w:iCs/>
      </w:rPr>
      <w:t>[LOGO ENTE]</w:t>
    </w:r>
  </w:p>
  <w:p w14:paraId="65E225E3" w14:textId="50AC77A5" w:rsidR="00272019" w:rsidRDefault="00272019" w:rsidP="00167354">
    <w:pPr>
      <w:pStyle w:val="Intestazione"/>
    </w:pPr>
  </w:p>
  <w:p w14:paraId="0376D6E0" w14:textId="77777777" w:rsidR="00586781" w:rsidRPr="00167354" w:rsidRDefault="00586781" w:rsidP="0016735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4DD8" w14:textId="621119F5" w:rsidR="007578DA" w:rsidRDefault="00000000">
    <w:pPr>
      <w:pStyle w:val="Intestazione"/>
    </w:pPr>
    <w:r>
      <w:rPr>
        <w:noProof/>
      </w:rPr>
      <w:pict w14:anchorId="2E327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5890" o:spid="_x0000_s1025" type="#_x0000_t136" style="position:absolute;margin-left:0;margin-top:0;width:494.9pt;height:141.4pt;rotation:315;z-index:-251656192;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2BA6"/>
    <w:multiLevelType w:val="hybridMultilevel"/>
    <w:tmpl w:val="283E5852"/>
    <w:lvl w:ilvl="0" w:tplc="F590511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A429B7"/>
    <w:multiLevelType w:val="hybridMultilevel"/>
    <w:tmpl w:val="99D652E8"/>
    <w:lvl w:ilvl="0" w:tplc="BB58BEB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16041CE"/>
    <w:multiLevelType w:val="hybridMultilevel"/>
    <w:tmpl w:val="2CB693DE"/>
    <w:lvl w:ilvl="0" w:tplc="B8F03F0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B9B3CD9"/>
    <w:multiLevelType w:val="hybridMultilevel"/>
    <w:tmpl w:val="479448A0"/>
    <w:lvl w:ilvl="0" w:tplc="7C845BC0">
      <w:start w:val="1"/>
      <w:numFmt w:val="decimal"/>
      <w:lvlText w:val="(%1)"/>
      <w:lvlJc w:val="left"/>
      <w:pPr>
        <w:ind w:left="720" w:hanging="360"/>
      </w:pPr>
      <w:rPr>
        <w:rFonts w:ascii="Times New Roman" w:hAnsi="Times New Roman" w:cs="Times New Roman" w:hint="default"/>
        <w:b w:val="0"/>
        <w:bCs w:val="0"/>
        <w:i w:val="0"/>
        <w:i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3D67114"/>
    <w:multiLevelType w:val="hybridMultilevel"/>
    <w:tmpl w:val="456CAF94"/>
    <w:lvl w:ilvl="0" w:tplc="B832ED8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B9D6D4E"/>
    <w:multiLevelType w:val="hybridMultilevel"/>
    <w:tmpl w:val="602CCD94"/>
    <w:lvl w:ilvl="0" w:tplc="43022D2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04A510C"/>
    <w:multiLevelType w:val="hybridMultilevel"/>
    <w:tmpl w:val="DC14722E"/>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5D55F10"/>
    <w:multiLevelType w:val="hybridMultilevel"/>
    <w:tmpl w:val="9586B5CA"/>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F2113D4"/>
    <w:multiLevelType w:val="hybridMultilevel"/>
    <w:tmpl w:val="D26625B2"/>
    <w:lvl w:ilvl="0" w:tplc="2B4ED980">
      <w:start w:val="1"/>
      <w:numFmt w:val="bullet"/>
      <w:lvlText w:val="-"/>
      <w:lvlJc w:val="left"/>
      <w:pPr>
        <w:ind w:left="1287" w:hanging="360"/>
      </w:pPr>
      <w:rPr>
        <w:rFonts w:ascii="Courier New" w:hAnsi="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15:restartNumberingAfterBreak="0">
    <w:nsid w:val="706D4C8E"/>
    <w:multiLevelType w:val="hybridMultilevel"/>
    <w:tmpl w:val="9D5C42EE"/>
    <w:lvl w:ilvl="0" w:tplc="C548EE0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60573361">
    <w:abstractNumId w:val="2"/>
  </w:num>
  <w:num w:numId="2" w16cid:durableId="141386127">
    <w:abstractNumId w:val="0"/>
  </w:num>
  <w:num w:numId="3" w16cid:durableId="394159940">
    <w:abstractNumId w:val="1"/>
  </w:num>
  <w:num w:numId="4" w16cid:durableId="2073582647">
    <w:abstractNumId w:val="9"/>
  </w:num>
  <w:num w:numId="5" w16cid:durableId="1296568432">
    <w:abstractNumId w:val="4"/>
  </w:num>
  <w:num w:numId="6" w16cid:durableId="267009685">
    <w:abstractNumId w:val="5"/>
  </w:num>
  <w:num w:numId="7" w16cid:durableId="1199079339">
    <w:abstractNumId w:val="7"/>
  </w:num>
  <w:num w:numId="8" w16cid:durableId="453672801">
    <w:abstractNumId w:val="3"/>
  </w:num>
  <w:num w:numId="9" w16cid:durableId="357246147">
    <w:abstractNumId w:val="8"/>
  </w:num>
  <w:num w:numId="10" w16cid:durableId="502932943">
    <w:abstractNumId w:val="6"/>
  </w:num>
  <w:num w:numId="11" w16cid:durableId="10565134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DA5967"/>
    <w:rsid w:val="00013128"/>
    <w:rsid w:val="000216FA"/>
    <w:rsid w:val="00031629"/>
    <w:rsid w:val="0004628A"/>
    <w:rsid w:val="00047B3B"/>
    <w:rsid w:val="000552AE"/>
    <w:rsid w:val="00071E4C"/>
    <w:rsid w:val="000777E8"/>
    <w:rsid w:val="00084881"/>
    <w:rsid w:val="00090006"/>
    <w:rsid w:val="000B71F0"/>
    <w:rsid w:val="000C26D5"/>
    <w:rsid w:val="000D4731"/>
    <w:rsid w:val="000E0996"/>
    <w:rsid w:val="000E23A8"/>
    <w:rsid w:val="001027B7"/>
    <w:rsid w:val="00110BA9"/>
    <w:rsid w:val="0012187D"/>
    <w:rsid w:val="0015329C"/>
    <w:rsid w:val="00160AA6"/>
    <w:rsid w:val="00167354"/>
    <w:rsid w:val="00182BFF"/>
    <w:rsid w:val="00185CAC"/>
    <w:rsid w:val="00191603"/>
    <w:rsid w:val="001958B4"/>
    <w:rsid w:val="001A417C"/>
    <w:rsid w:val="001A4CA0"/>
    <w:rsid w:val="001B26A1"/>
    <w:rsid w:val="001E0DF1"/>
    <w:rsid w:val="001E1B60"/>
    <w:rsid w:val="001E357E"/>
    <w:rsid w:val="001E74B7"/>
    <w:rsid w:val="001F41BE"/>
    <w:rsid w:val="00200D88"/>
    <w:rsid w:val="0020374F"/>
    <w:rsid w:val="002253FF"/>
    <w:rsid w:val="00256048"/>
    <w:rsid w:val="002657EB"/>
    <w:rsid w:val="00272019"/>
    <w:rsid w:val="002A283B"/>
    <w:rsid w:val="002B0D83"/>
    <w:rsid w:val="002B7808"/>
    <w:rsid w:val="002B7892"/>
    <w:rsid w:val="002C329F"/>
    <w:rsid w:val="002D2ADE"/>
    <w:rsid w:val="002F2109"/>
    <w:rsid w:val="00312FED"/>
    <w:rsid w:val="0032510D"/>
    <w:rsid w:val="00325451"/>
    <w:rsid w:val="00331330"/>
    <w:rsid w:val="003342E1"/>
    <w:rsid w:val="00337366"/>
    <w:rsid w:val="00337BD0"/>
    <w:rsid w:val="00337E4B"/>
    <w:rsid w:val="00352FEC"/>
    <w:rsid w:val="003530AB"/>
    <w:rsid w:val="00363F2F"/>
    <w:rsid w:val="0038306B"/>
    <w:rsid w:val="0038678D"/>
    <w:rsid w:val="003905EE"/>
    <w:rsid w:val="00392884"/>
    <w:rsid w:val="00395CCC"/>
    <w:rsid w:val="003B2AE9"/>
    <w:rsid w:val="003B7E71"/>
    <w:rsid w:val="003C1921"/>
    <w:rsid w:val="003D4A80"/>
    <w:rsid w:val="003D5D98"/>
    <w:rsid w:val="003E3517"/>
    <w:rsid w:val="00404A0D"/>
    <w:rsid w:val="00405741"/>
    <w:rsid w:val="00406A67"/>
    <w:rsid w:val="004112C5"/>
    <w:rsid w:val="004136C5"/>
    <w:rsid w:val="004328DD"/>
    <w:rsid w:val="00440C0D"/>
    <w:rsid w:val="00442231"/>
    <w:rsid w:val="00451665"/>
    <w:rsid w:val="00452DAA"/>
    <w:rsid w:val="004667F0"/>
    <w:rsid w:val="004671BE"/>
    <w:rsid w:val="00474FD9"/>
    <w:rsid w:val="00475E8C"/>
    <w:rsid w:val="004A1DD3"/>
    <w:rsid w:val="004C5223"/>
    <w:rsid w:val="004C6E53"/>
    <w:rsid w:val="004F0EC0"/>
    <w:rsid w:val="00511D5F"/>
    <w:rsid w:val="00516A8C"/>
    <w:rsid w:val="00520CC6"/>
    <w:rsid w:val="00550BF7"/>
    <w:rsid w:val="005514C1"/>
    <w:rsid w:val="00561D59"/>
    <w:rsid w:val="0056389A"/>
    <w:rsid w:val="005820B9"/>
    <w:rsid w:val="00586781"/>
    <w:rsid w:val="0059323A"/>
    <w:rsid w:val="00596A3F"/>
    <w:rsid w:val="005A6ADE"/>
    <w:rsid w:val="005B4862"/>
    <w:rsid w:val="005F4D49"/>
    <w:rsid w:val="006009B5"/>
    <w:rsid w:val="00602EE8"/>
    <w:rsid w:val="00644A2E"/>
    <w:rsid w:val="00653C53"/>
    <w:rsid w:val="00674DBC"/>
    <w:rsid w:val="00681041"/>
    <w:rsid w:val="006858CE"/>
    <w:rsid w:val="00685B72"/>
    <w:rsid w:val="00697E2E"/>
    <w:rsid w:val="006B1E9A"/>
    <w:rsid w:val="006B7D2D"/>
    <w:rsid w:val="006C7C03"/>
    <w:rsid w:val="006D2985"/>
    <w:rsid w:val="006D7734"/>
    <w:rsid w:val="007012B3"/>
    <w:rsid w:val="00704F2F"/>
    <w:rsid w:val="00732BED"/>
    <w:rsid w:val="007578DA"/>
    <w:rsid w:val="00761A43"/>
    <w:rsid w:val="007635F5"/>
    <w:rsid w:val="00773E3C"/>
    <w:rsid w:val="007801E6"/>
    <w:rsid w:val="00793C8E"/>
    <w:rsid w:val="00797813"/>
    <w:rsid w:val="00797B9A"/>
    <w:rsid w:val="007E046B"/>
    <w:rsid w:val="007E2D02"/>
    <w:rsid w:val="007F287E"/>
    <w:rsid w:val="008058AA"/>
    <w:rsid w:val="00830EFF"/>
    <w:rsid w:val="00836B3F"/>
    <w:rsid w:val="00851F0B"/>
    <w:rsid w:val="00852525"/>
    <w:rsid w:val="008743E4"/>
    <w:rsid w:val="00877195"/>
    <w:rsid w:val="00893CD3"/>
    <w:rsid w:val="00893D92"/>
    <w:rsid w:val="008A418B"/>
    <w:rsid w:val="008C2FCE"/>
    <w:rsid w:val="008D18EE"/>
    <w:rsid w:val="008F4F7B"/>
    <w:rsid w:val="008F67BA"/>
    <w:rsid w:val="0090082A"/>
    <w:rsid w:val="009125D9"/>
    <w:rsid w:val="00923547"/>
    <w:rsid w:val="00942542"/>
    <w:rsid w:val="0094585B"/>
    <w:rsid w:val="009A737A"/>
    <w:rsid w:val="009B572C"/>
    <w:rsid w:val="009B702D"/>
    <w:rsid w:val="009C6D01"/>
    <w:rsid w:val="009D6C84"/>
    <w:rsid w:val="009D7446"/>
    <w:rsid w:val="009D7F78"/>
    <w:rsid w:val="00A022CE"/>
    <w:rsid w:val="00A039E3"/>
    <w:rsid w:val="00A0788E"/>
    <w:rsid w:val="00A07B01"/>
    <w:rsid w:val="00A14731"/>
    <w:rsid w:val="00A321AA"/>
    <w:rsid w:val="00A34433"/>
    <w:rsid w:val="00A4232C"/>
    <w:rsid w:val="00A47428"/>
    <w:rsid w:val="00A51894"/>
    <w:rsid w:val="00A60387"/>
    <w:rsid w:val="00A6211B"/>
    <w:rsid w:val="00A70BF4"/>
    <w:rsid w:val="00AA44C4"/>
    <w:rsid w:val="00AB36A3"/>
    <w:rsid w:val="00AF41BC"/>
    <w:rsid w:val="00AF57A9"/>
    <w:rsid w:val="00B24A7D"/>
    <w:rsid w:val="00B4582D"/>
    <w:rsid w:val="00B53A1F"/>
    <w:rsid w:val="00BC6F84"/>
    <w:rsid w:val="00BE2A77"/>
    <w:rsid w:val="00C22CAF"/>
    <w:rsid w:val="00C3314E"/>
    <w:rsid w:val="00C33B05"/>
    <w:rsid w:val="00C44A6A"/>
    <w:rsid w:val="00C55BD2"/>
    <w:rsid w:val="00C65152"/>
    <w:rsid w:val="00C67F71"/>
    <w:rsid w:val="00C71589"/>
    <w:rsid w:val="00C818B4"/>
    <w:rsid w:val="00C82646"/>
    <w:rsid w:val="00C85D8B"/>
    <w:rsid w:val="00C94E5C"/>
    <w:rsid w:val="00CB1042"/>
    <w:rsid w:val="00CD581B"/>
    <w:rsid w:val="00CE1FE3"/>
    <w:rsid w:val="00CF3CA8"/>
    <w:rsid w:val="00CF6FFC"/>
    <w:rsid w:val="00D25602"/>
    <w:rsid w:val="00D302C4"/>
    <w:rsid w:val="00D55E10"/>
    <w:rsid w:val="00D75FD3"/>
    <w:rsid w:val="00D919EB"/>
    <w:rsid w:val="00DA2777"/>
    <w:rsid w:val="00DA4FAC"/>
    <w:rsid w:val="00DB67FA"/>
    <w:rsid w:val="00DC40F8"/>
    <w:rsid w:val="00DC69A8"/>
    <w:rsid w:val="00DC776C"/>
    <w:rsid w:val="00DD067B"/>
    <w:rsid w:val="00DE39D2"/>
    <w:rsid w:val="00DF547D"/>
    <w:rsid w:val="00DF54D3"/>
    <w:rsid w:val="00E15F23"/>
    <w:rsid w:val="00E22B7C"/>
    <w:rsid w:val="00E41600"/>
    <w:rsid w:val="00E5113F"/>
    <w:rsid w:val="00E52255"/>
    <w:rsid w:val="00E63996"/>
    <w:rsid w:val="00E77D9B"/>
    <w:rsid w:val="00E977BE"/>
    <w:rsid w:val="00EA1AFC"/>
    <w:rsid w:val="00EA3D8C"/>
    <w:rsid w:val="00EB4FF6"/>
    <w:rsid w:val="00ED2094"/>
    <w:rsid w:val="00ED4D70"/>
    <w:rsid w:val="00ED7AE9"/>
    <w:rsid w:val="00EE18A7"/>
    <w:rsid w:val="00EE6934"/>
    <w:rsid w:val="00F039EB"/>
    <w:rsid w:val="00F104C8"/>
    <w:rsid w:val="00F17304"/>
    <w:rsid w:val="00F214EE"/>
    <w:rsid w:val="00F276CF"/>
    <w:rsid w:val="00F5313E"/>
    <w:rsid w:val="00F60E76"/>
    <w:rsid w:val="00F64743"/>
    <w:rsid w:val="00F76B0C"/>
    <w:rsid w:val="00F816E8"/>
    <w:rsid w:val="00F83CD8"/>
    <w:rsid w:val="00FD765E"/>
    <w:rsid w:val="00FE74E1"/>
    <w:rsid w:val="00FE768E"/>
    <w:rsid w:val="10DA596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A59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223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42231"/>
    <w:pPr>
      <w:autoSpaceDE w:val="0"/>
      <w:autoSpaceDN w:val="0"/>
      <w:adjustRightInd w:val="0"/>
      <w:spacing w:after="0" w:line="240" w:lineRule="auto"/>
    </w:pPr>
    <w:rPr>
      <w:rFonts w:ascii="Arial" w:hAnsi="Arial" w:cs="Arial"/>
      <w:color w:val="000000"/>
      <w:sz w:val="24"/>
      <w:szCs w:val="24"/>
    </w:rPr>
  </w:style>
  <w:style w:type="paragraph" w:styleId="Intestazione">
    <w:name w:val="header"/>
    <w:basedOn w:val="Normale"/>
    <w:link w:val="IntestazioneCarattere"/>
    <w:unhideWhenUsed/>
    <w:rsid w:val="00272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72019"/>
  </w:style>
  <w:style w:type="paragraph" w:styleId="Pidipagina">
    <w:name w:val="footer"/>
    <w:basedOn w:val="Normale"/>
    <w:link w:val="PidipaginaCarattere"/>
    <w:uiPriority w:val="99"/>
    <w:unhideWhenUsed/>
    <w:rsid w:val="00272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72019"/>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9B572C"/>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9B572C"/>
  </w:style>
  <w:style w:type="table" w:customStyle="1" w:styleId="Grigliatabella1">
    <w:name w:val="Griglia tabella1"/>
    <w:basedOn w:val="Tabellanormale"/>
    <w:next w:val="Grigliatabella"/>
    <w:uiPriority w:val="39"/>
    <w:rsid w:val="00DB67F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DB6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5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f0fe3d-7c49-4574-b7c7-c5113e3decff" xsi:nil="true"/>
    <lcf76f155ced4ddcb4097134ff3c332f xmlns="99f9ace7-d5f0-4c9c-b0c6-190725c94f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354D1DA11D0FF4882E773BC1FCA75DB" ma:contentTypeVersion="11" ma:contentTypeDescription="Creare un nuovo documento." ma:contentTypeScope="" ma:versionID="cd4b69b9b78005088b05e74991e3588b">
  <xsd:schema xmlns:xsd="http://www.w3.org/2001/XMLSchema" xmlns:xs="http://www.w3.org/2001/XMLSchema" xmlns:p="http://schemas.microsoft.com/office/2006/metadata/properties" xmlns:ns2="99f9ace7-d5f0-4c9c-b0c6-190725c94fae" xmlns:ns3="73f0fe3d-7c49-4574-b7c7-c5113e3decff" targetNamespace="http://schemas.microsoft.com/office/2006/metadata/properties" ma:root="true" ma:fieldsID="c813ab32e606086eb64d692d9af322a2" ns2:_="" ns3:_="">
    <xsd:import namespace="99f9ace7-d5f0-4c9c-b0c6-190725c94fae"/>
    <xsd:import namespace="73f0fe3d-7c49-4574-b7c7-c5113e3dec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9ace7-d5f0-4c9c-b0c6-190725c94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286b6b2-c72c-46b9-90f5-a8990622a0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0fe3d-7c49-4574-b7c7-c5113e3decff"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5491b8ce-273c-4be5-9374-6ea45d8c5941}" ma:internalName="TaxCatchAll" ma:showField="CatchAllData" ma:web="73f0fe3d-7c49-4574-b7c7-c5113e3de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300E0-5346-4650-8BC0-8381A3403292}">
  <ds:schemaRefs>
    <ds:schemaRef ds:uri="http://schemas.microsoft.com/office/2006/metadata/properties"/>
    <ds:schemaRef ds:uri="http://schemas.microsoft.com/office/infopath/2007/PartnerControls"/>
    <ds:schemaRef ds:uri="73f0fe3d-7c49-4574-b7c7-c5113e3decff"/>
    <ds:schemaRef ds:uri="99f9ace7-d5f0-4c9c-b0c6-190725c94fae"/>
  </ds:schemaRefs>
</ds:datastoreItem>
</file>

<file path=customXml/itemProps2.xml><?xml version="1.0" encoding="utf-8"?>
<ds:datastoreItem xmlns:ds="http://schemas.openxmlformats.org/officeDocument/2006/customXml" ds:itemID="{BB813AD8-6647-4013-8806-C235E0F66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9ace7-d5f0-4c9c-b0c6-190725c94fae"/>
    <ds:schemaRef ds:uri="73f0fe3d-7c49-4574-b7c7-c5113e3de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9D86FA-D428-4F14-B842-0A95E4543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2833</Words>
  <Characters>16152</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2022-11-17T15:38:00Z</dcterms:created>
  <dcterms:modified xsi:type="dcterms:W3CDTF">2023-06-23T06:22:00Z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0x0101001354D1DA11D0FF4882E773BC1FCA75DB</vt:lpwstr>
  </property>
  <property fmtid="{D5CDD505-2E9C-101B-9397-08002B2CF9AE}" pid="3" name="MediaServiceImageTags">
    <vt:lpwstr/>
  </property>
</Properties>
</file>